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ED" w:rsidRPr="008C0917" w:rsidRDefault="00581F9D" w:rsidP="00302BE4">
      <w:pPr>
        <w:jc w:val="center"/>
        <w:rPr>
          <w:rFonts w:ascii="Arial" w:hAnsi="Arial" w:cs="Arial"/>
          <w:b/>
          <w:sz w:val="28"/>
          <w:szCs w:val="28"/>
          <w:lang w:val="es-AR"/>
        </w:rPr>
      </w:pPr>
      <w:r w:rsidRPr="00433F51">
        <w:rPr>
          <w:rFonts w:ascii="Arial" w:hAnsi="Arial" w:cs="Arial"/>
          <w:b/>
          <w:sz w:val="28"/>
          <w:szCs w:val="28"/>
          <w:lang w:val="es-AR"/>
        </w:rPr>
        <w:t>C</w:t>
      </w:r>
      <w:r w:rsidR="00E412F2" w:rsidRPr="00433F51">
        <w:rPr>
          <w:rFonts w:ascii="Arial" w:hAnsi="Arial" w:cs="Arial"/>
          <w:b/>
          <w:sz w:val="28"/>
          <w:szCs w:val="28"/>
          <w:lang w:val="es-AR"/>
        </w:rPr>
        <w:t>ategorización</w:t>
      </w:r>
      <w:r w:rsidR="00E412F2" w:rsidRPr="008C0917">
        <w:rPr>
          <w:rFonts w:ascii="Arial" w:hAnsi="Arial" w:cs="Arial"/>
          <w:b/>
          <w:sz w:val="28"/>
          <w:szCs w:val="28"/>
          <w:lang w:val="es-AR"/>
        </w:rPr>
        <w:t xml:space="preserve"> de productos para la</w:t>
      </w:r>
      <w:r w:rsidR="00C17DED" w:rsidRPr="008C0917">
        <w:rPr>
          <w:rFonts w:ascii="Arial" w:hAnsi="Arial" w:cs="Arial"/>
          <w:b/>
          <w:sz w:val="28"/>
          <w:szCs w:val="28"/>
          <w:lang w:val="es-AR"/>
        </w:rPr>
        <w:t xml:space="preserve"> protección de cultivos por la IARC (International Agency for Research on Cancer)</w:t>
      </w:r>
    </w:p>
    <w:p w:rsidR="00C17DED" w:rsidRPr="00895B28" w:rsidRDefault="00C17DED" w:rsidP="00C17DED">
      <w:pPr>
        <w:jc w:val="both"/>
        <w:rPr>
          <w:rFonts w:ascii="Arial" w:hAnsi="Arial" w:cs="Arial"/>
          <w:b/>
          <w:sz w:val="22"/>
          <w:szCs w:val="22"/>
          <w:lang w:val="es-AR"/>
        </w:rPr>
      </w:pPr>
    </w:p>
    <w:p w:rsidR="00184A0B" w:rsidRPr="00433F51" w:rsidRDefault="005D727B" w:rsidP="008C0917">
      <w:pPr>
        <w:spacing w:line="276" w:lineRule="auto"/>
        <w:jc w:val="both"/>
        <w:rPr>
          <w:rFonts w:ascii="Arial" w:hAnsi="Arial" w:cs="Arial"/>
          <w:b/>
          <w:lang w:val="es-AR"/>
        </w:rPr>
      </w:pPr>
      <w:r w:rsidRPr="00433F51">
        <w:rPr>
          <w:rFonts w:ascii="Arial" w:hAnsi="Arial" w:cs="Arial"/>
          <w:b/>
          <w:lang w:val="es-AR"/>
        </w:rPr>
        <w:t>La</w:t>
      </w:r>
      <w:r w:rsidR="00C17DED" w:rsidRPr="00433F51">
        <w:rPr>
          <w:rFonts w:ascii="Arial" w:hAnsi="Arial" w:cs="Arial"/>
          <w:b/>
          <w:lang w:val="es-AR"/>
        </w:rPr>
        <w:t xml:space="preserve"> Agencia Internacional de Investigación del C</w:t>
      </w:r>
      <w:r w:rsidR="00E412F2" w:rsidRPr="00433F51">
        <w:rPr>
          <w:rFonts w:ascii="Arial" w:hAnsi="Arial" w:cs="Arial"/>
          <w:b/>
          <w:lang w:val="es-AR"/>
        </w:rPr>
        <w:t>áncer (IARC, por sus siglas en inglés</w:t>
      </w:r>
      <w:r w:rsidR="00C17DED" w:rsidRPr="00433F51">
        <w:rPr>
          <w:rFonts w:ascii="Arial" w:hAnsi="Arial" w:cs="Arial"/>
          <w:b/>
          <w:lang w:val="es-AR"/>
        </w:rPr>
        <w:t xml:space="preserve">) </w:t>
      </w:r>
      <w:r w:rsidR="00F702CB" w:rsidRPr="00433F51">
        <w:rPr>
          <w:rFonts w:ascii="Arial" w:hAnsi="Arial" w:cs="Arial"/>
          <w:b/>
          <w:lang w:val="es-AR"/>
        </w:rPr>
        <w:t xml:space="preserve">clasificó a algunos productos de protección de cultivos como posible o probablemente cancerígenos, </w:t>
      </w:r>
      <w:r w:rsidR="00C17DED" w:rsidRPr="00433F51">
        <w:rPr>
          <w:rFonts w:ascii="Arial" w:hAnsi="Arial" w:cs="Arial"/>
          <w:b/>
          <w:lang w:val="es-AR"/>
        </w:rPr>
        <w:t>entre ellos el glifosato</w:t>
      </w:r>
      <w:r w:rsidR="001E0A2C" w:rsidRPr="00433F51">
        <w:rPr>
          <w:rFonts w:ascii="Arial" w:hAnsi="Arial" w:cs="Arial"/>
          <w:b/>
          <w:lang w:val="es-AR"/>
        </w:rPr>
        <w:t xml:space="preserve">, </w:t>
      </w:r>
      <w:r w:rsidR="00C17DED" w:rsidRPr="00433F51">
        <w:rPr>
          <w:rFonts w:ascii="Arial" w:hAnsi="Arial" w:cs="Arial"/>
          <w:b/>
          <w:lang w:val="es-AR"/>
        </w:rPr>
        <w:t xml:space="preserve">que fue </w:t>
      </w:r>
      <w:r w:rsidRPr="00433F51">
        <w:rPr>
          <w:rFonts w:ascii="Arial" w:hAnsi="Arial" w:cs="Arial"/>
          <w:b/>
          <w:lang w:val="es-AR"/>
        </w:rPr>
        <w:t xml:space="preserve">incluido </w:t>
      </w:r>
      <w:r w:rsidR="00C17DED" w:rsidRPr="00433F51">
        <w:rPr>
          <w:rFonts w:ascii="Arial" w:hAnsi="Arial" w:cs="Arial"/>
          <w:b/>
          <w:lang w:val="es-AR"/>
        </w:rPr>
        <w:t>en el grupo</w:t>
      </w:r>
      <w:r w:rsidR="00581F9D" w:rsidRPr="00433F51">
        <w:rPr>
          <w:rFonts w:ascii="Arial" w:hAnsi="Arial" w:cs="Arial"/>
          <w:b/>
          <w:lang w:val="es-AR"/>
        </w:rPr>
        <w:t xml:space="preserve"> </w:t>
      </w:r>
      <w:r w:rsidR="007944E9" w:rsidRPr="00433F51">
        <w:rPr>
          <w:rFonts w:ascii="Arial" w:hAnsi="Arial" w:cs="Arial"/>
          <w:b/>
          <w:lang w:val="es-AR"/>
        </w:rPr>
        <w:t xml:space="preserve">2A </w:t>
      </w:r>
      <w:r w:rsidR="00F702CB" w:rsidRPr="00433F51">
        <w:rPr>
          <w:rFonts w:ascii="Arial" w:hAnsi="Arial" w:cs="Arial"/>
          <w:b/>
          <w:lang w:val="es-AR"/>
        </w:rPr>
        <w:t>como</w:t>
      </w:r>
      <w:r w:rsidR="002047F2" w:rsidRPr="00433F51">
        <w:rPr>
          <w:rFonts w:ascii="Arial" w:hAnsi="Arial" w:cs="Arial"/>
          <w:b/>
          <w:lang w:val="es-AR"/>
        </w:rPr>
        <w:t xml:space="preserve"> probablemente</w:t>
      </w:r>
      <w:r w:rsidR="00581F9D" w:rsidRPr="00433F51">
        <w:rPr>
          <w:rFonts w:ascii="Arial" w:hAnsi="Arial" w:cs="Arial"/>
          <w:b/>
          <w:lang w:val="es-AR"/>
        </w:rPr>
        <w:t xml:space="preserve"> cancerígeno</w:t>
      </w:r>
      <w:r w:rsidR="00184A0B" w:rsidRPr="00433F51">
        <w:rPr>
          <w:rFonts w:ascii="Arial" w:hAnsi="Arial" w:cs="Arial"/>
          <w:b/>
          <w:lang w:val="es-AR"/>
        </w:rPr>
        <w:t>.</w:t>
      </w:r>
    </w:p>
    <w:p w:rsidR="00581F9D" w:rsidRPr="00433F51" w:rsidRDefault="00184A0B" w:rsidP="008C0917">
      <w:pPr>
        <w:spacing w:line="276" w:lineRule="auto"/>
        <w:jc w:val="both"/>
        <w:rPr>
          <w:rFonts w:ascii="Arial" w:hAnsi="Arial" w:cs="Arial"/>
          <w:b/>
          <w:lang w:val="es-AR"/>
        </w:rPr>
      </w:pPr>
      <w:r w:rsidRPr="00433F51">
        <w:rPr>
          <w:rFonts w:ascii="Arial" w:hAnsi="Arial" w:cs="Arial"/>
          <w:b/>
          <w:lang w:val="es-AR"/>
        </w:rPr>
        <w:t xml:space="preserve">Otros productos fitosanitarios, como el </w:t>
      </w:r>
      <w:proofErr w:type="spellStart"/>
      <w:r w:rsidRPr="00433F51">
        <w:rPr>
          <w:rFonts w:ascii="Arial" w:hAnsi="Arial" w:cs="Arial"/>
          <w:b/>
          <w:lang w:val="es-AR"/>
        </w:rPr>
        <w:t>Malation</w:t>
      </w:r>
      <w:proofErr w:type="spellEnd"/>
      <w:r w:rsidRPr="00433F51">
        <w:rPr>
          <w:rFonts w:ascii="Arial" w:hAnsi="Arial" w:cs="Arial"/>
          <w:b/>
          <w:lang w:val="es-AR"/>
        </w:rPr>
        <w:t xml:space="preserve"> y el </w:t>
      </w:r>
      <w:proofErr w:type="spellStart"/>
      <w:r w:rsidRPr="00433F51">
        <w:rPr>
          <w:rFonts w:ascii="Arial" w:hAnsi="Arial" w:cs="Arial"/>
          <w:b/>
          <w:lang w:val="es-AR"/>
        </w:rPr>
        <w:t>Diazinon</w:t>
      </w:r>
      <w:proofErr w:type="spellEnd"/>
      <w:r w:rsidRPr="00433F51">
        <w:rPr>
          <w:rFonts w:ascii="Arial" w:hAnsi="Arial" w:cs="Arial"/>
          <w:b/>
          <w:lang w:val="es-AR"/>
        </w:rPr>
        <w:t>,</w:t>
      </w:r>
      <w:r w:rsidR="001E0A2C" w:rsidRPr="00433F51">
        <w:rPr>
          <w:rFonts w:ascii="Arial" w:hAnsi="Arial" w:cs="Arial"/>
          <w:b/>
          <w:lang w:val="es-AR"/>
        </w:rPr>
        <w:t xml:space="preserve"> </w:t>
      </w:r>
      <w:r w:rsidRPr="00433F51">
        <w:rPr>
          <w:rFonts w:ascii="Arial" w:hAnsi="Arial" w:cs="Arial"/>
          <w:b/>
          <w:lang w:val="es-AR"/>
        </w:rPr>
        <w:t xml:space="preserve">fueron clasificados en la misma categoría que el glifosato, </w:t>
      </w:r>
      <w:r w:rsidR="001E0A2C" w:rsidRPr="00433F51">
        <w:rPr>
          <w:rFonts w:ascii="Arial" w:hAnsi="Arial" w:cs="Arial"/>
          <w:b/>
          <w:lang w:val="es-AR"/>
        </w:rPr>
        <w:t>mientras que los incluidos en el grupo 2B como posiblemente cancerígenos</w:t>
      </w:r>
      <w:r w:rsidR="001A4412" w:rsidRPr="00433F51">
        <w:rPr>
          <w:rFonts w:ascii="Arial" w:hAnsi="Arial" w:cs="Arial"/>
          <w:b/>
          <w:lang w:val="es-AR"/>
        </w:rPr>
        <w:t>,</w:t>
      </w:r>
      <w:r w:rsidR="001E0A2C" w:rsidRPr="00433F51">
        <w:rPr>
          <w:rFonts w:ascii="Arial" w:hAnsi="Arial" w:cs="Arial"/>
          <w:b/>
          <w:lang w:val="es-AR"/>
        </w:rPr>
        <w:t xml:space="preserve"> el </w:t>
      </w:r>
      <w:proofErr w:type="spellStart"/>
      <w:r w:rsidR="001E0A2C" w:rsidRPr="00433F51">
        <w:rPr>
          <w:rFonts w:ascii="Arial" w:hAnsi="Arial" w:cs="Arial"/>
          <w:b/>
          <w:lang w:val="es-AR"/>
        </w:rPr>
        <w:t>Paration</w:t>
      </w:r>
      <w:proofErr w:type="spellEnd"/>
      <w:r w:rsidR="001E0A2C" w:rsidRPr="00433F51">
        <w:rPr>
          <w:rFonts w:ascii="Arial" w:hAnsi="Arial" w:cs="Arial"/>
          <w:b/>
          <w:lang w:val="es-AR"/>
        </w:rPr>
        <w:t xml:space="preserve"> y el </w:t>
      </w:r>
      <w:proofErr w:type="spellStart"/>
      <w:r w:rsidR="00A017F0" w:rsidRPr="00433F51">
        <w:rPr>
          <w:rFonts w:ascii="Arial" w:hAnsi="Arial" w:cs="Arial"/>
          <w:b/>
          <w:lang w:val="es-AR"/>
        </w:rPr>
        <w:t>Tetrac</w:t>
      </w:r>
      <w:r w:rsidR="001E0A2C" w:rsidRPr="00433F51">
        <w:rPr>
          <w:rFonts w:ascii="Arial" w:hAnsi="Arial" w:cs="Arial"/>
          <w:b/>
          <w:lang w:val="es-AR"/>
        </w:rPr>
        <w:t>lorvin</w:t>
      </w:r>
      <w:r w:rsidR="00A017F0" w:rsidRPr="00433F51">
        <w:rPr>
          <w:rFonts w:ascii="Arial" w:hAnsi="Arial" w:cs="Arial"/>
          <w:b/>
          <w:lang w:val="es-AR"/>
        </w:rPr>
        <w:t>f</w:t>
      </w:r>
      <w:r w:rsidR="001E0A2C" w:rsidRPr="00433F51">
        <w:rPr>
          <w:rFonts w:ascii="Arial" w:hAnsi="Arial" w:cs="Arial"/>
          <w:b/>
          <w:lang w:val="es-AR"/>
        </w:rPr>
        <w:t>os</w:t>
      </w:r>
      <w:proofErr w:type="spellEnd"/>
      <w:r w:rsidR="001A4412" w:rsidRPr="00433F51">
        <w:rPr>
          <w:rFonts w:ascii="Arial" w:hAnsi="Arial" w:cs="Arial"/>
          <w:b/>
          <w:lang w:val="es-AR"/>
        </w:rPr>
        <w:t>, son productos fitosanitarios que NO tiene</w:t>
      </w:r>
      <w:r w:rsidR="006A6859" w:rsidRPr="00433F51">
        <w:rPr>
          <w:rFonts w:ascii="Arial" w:hAnsi="Arial" w:cs="Arial"/>
          <w:b/>
          <w:lang w:val="es-AR"/>
        </w:rPr>
        <w:t>n</w:t>
      </w:r>
      <w:r w:rsidR="001A4412" w:rsidRPr="00433F51">
        <w:rPr>
          <w:rFonts w:ascii="Arial" w:hAnsi="Arial" w:cs="Arial"/>
          <w:b/>
          <w:lang w:val="es-AR"/>
        </w:rPr>
        <w:t xml:space="preserve"> aprobado su uso en Argentina</w:t>
      </w:r>
      <w:r w:rsidR="00F702CB" w:rsidRPr="00433F51">
        <w:rPr>
          <w:rFonts w:ascii="Arial" w:hAnsi="Arial" w:cs="Arial"/>
          <w:b/>
          <w:lang w:val="es-AR"/>
        </w:rPr>
        <w:t>.</w:t>
      </w:r>
    </w:p>
    <w:p w:rsidR="00895B28" w:rsidRDefault="00895B28" w:rsidP="00374B54">
      <w:pPr>
        <w:spacing w:line="276" w:lineRule="auto"/>
        <w:jc w:val="both"/>
        <w:rPr>
          <w:rFonts w:ascii="Arial" w:hAnsi="Arial" w:cs="Arial"/>
          <w:bCs/>
          <w:highlight w:val="yellow"/>
          <w:lang w:val="es-AR"/>
        </w:rPr>
      </w:pPr>
    </w:p>
    <w:p w:rsidR="00EE1CB9" w:rsidRPr="00433F51" w:rsidRDefault="00374B54" w:rsidP="00374B54">
      <w:pPr>
        <w:spacing w:line="276" w:lineRule="auto"/>
        <w:jc w:val="both"/>
        <w:rPr>
          <w:rFonts w:ascii="Arial" w:hAnsi="Arial" w:cs="Arial"/>
          <w:lang w:val="es-AR"/>
        </w:rPr>
      </w:pPr>
      <w:r w:rsidRPr="00433F51">
        <w:rPr>
          <w:rFonts w:ascii="Arial" w:hAnsi="Arial" w:cs="Arial"/>
          <w:bCs/>
          <w:lang w:val="es-AR"/>
        </w:rPr>
        <w:t xml:space="preserve">La IARC </w:t>
      </w:r>
      <w:r w:rsidR="007A3847" w:rsidRPr="00433F51">
        <w:rPr>
          <w:rFonts w:ascii="Arial" w:hAnsi="Arial" w:cs="Arial"/>
          <w:bCs/>
          <w:lang w:val="es-AR"/>
        </w:rPr>
        <w:t>fue establecida en 1965 como un</w:t>
      </w:r>
      <w:r w:rsidR="00895B28" w:rsidRPr="00433F51">
        <w:rPr>
          <w:rFonts w:ascii="Arial" w:hAnsi="Arial" w:cs="Arial"/>
          <w:bCs/>
          <w:lang w:val="es-AR"/>
        </w:rPr>
        <w:t xml:space="preserve">a agencia </w:t>
      </w:r>
      <w:r w:rsidR="007A3847" w:rsidRPr="00433F51">
        <w:rPr>
          <w:rFonts w:ascii="Arial" w:hAnsi="Arial" w:cs="Arial"/>
          <w:bCs/>
          <w:lang w:val="es-AR"/>
        </w:rPr>
        <w:t xml:space="preserve"> de la </w:t>
      </w:r>
      <w:r w:rsidR="000C392A" w:rsidRPr="00433F51">
        <w:rPr>
          <w:rFonts w:ascii="Arial" w:hAnsi="Arial" w:cs="Arial"/>
          <w:bCs/>
          <w:lang w:val="es-AR"/>
        </w:rPr>
        <w:t>Organización</w:t>
      </w:r>
      <w:r w:rsidR="007A3847" w:rsidRPr="00433F51">
        <w:rPr>
          <w:rFonts w:ascii="Arial" w:hAnsi="Arial" w:cs="Arial"/>
          <w:bCs/>
          <w:lang w:val="es-AR"/>
        </w:rPr>
        <w:t xml:space="preserve"> Mundial de la Salud (OMS) </w:t>
      </w:r>
      <w:r w:rsidRPr="00433F51">
        <w:rPr>
          <w:rFonts w:ascii="Arial" w:hAnsi="Arial" w:cs="Arial"/>
          <w:bCs/>
          <w:lang w:val="es-AR"/>
        </w:rPr>
        <w:t>para</w:t>
      </w:r>
      <w:r w:rsidR="007A3847" w:rsidRPr="00433F51">
        <w:rPr>
          <w:rFonts w:ascii="Arial" w:hAnsi="Arial" w:cs="Arial"/>
          <w:bCs/>
          <w:lang w:val="es-AR"/>
        </w:rPr>
        <w:t xml:space="preserve"> promover la colaboración internacional en la investigaci</w:t>
      </w:r>
      <w:r w:rsidR="00895B28" w:rsidRPr="00433F51">
        <w:rPr>
          <w:rFonts w:ascii="Arial" w:hAnsi="Arial" w:cs="Arial"/>
          <w:bCs/>
          <w:lang w:val="es-AR"/>
        </w:rPr>
        <w:t>ó</w:t>
      </w:r>
      <w:r w:rsidR="007A3847" w:rsidRPr="00433F51">
        <w:rPr>
          <w:rFonts w:ascii="Arial" w:hAnsi="Arial" w:cs="Arial"/>
          <w:bCs/>
          <w:lang w:val="es-AR"/>
        </w:rPr>
        <w:t xml:space="preserve">n sobre el </w:t>
      </w:r>
      <w:r w:rsidR="00433F51" w:rsidRPr="00433F51">
        <w:rPr>
          <w:rFonts w:ascii="Arial" w:hAnsi="Arial" w:cs="Arial"/>
          <w:bCs/>
          <w:lang w:val="es-AR"/>
        </w:rPr>
        <w:t>cáncer</w:t>
      </w:r>
      <w:r w:rsidR="007A3847" w:rsidRPr="00433F51">
        <w:rPr>
          <w:rFonts w:ascii="Arial" w:hAnsi="Arial" w:cs="Arial"/>
          <w:bCs/>
          <w:lang w:val="es-AR"/>
        </w:rPr>
        <w:t xml:space="preserve">. </w:t>
      </w:r>
      <w:r w:rsidRPr="00433F51">
        <w:rPr>
          <w:rFonts w:ascii="Arial" w:hAnsi="Arial" w:cs="Arial"/>
          <w:bCs/>
          <w:lang w:val="es-AR"/>
        </w:rPr>
        <w:t xml:space="preserve">IARC NO es una agencia regulatoria ni hace recomendaciones sobre regulaciones, manejo o </w:t>
      </w:r>
      <w:r w:rsidR="00433F51" w:rsidRPr="00433F51">
        <w:rPr>
          <w:rFonts w:ascii="Arial" w:hAnsi="Arial" w:cs="Arial"/>
          <w:bCs/>
          <w:lang w:val="es-AR"/>
        </w:rPr>
        <w:t>legislación.</w:t>
      </w:r>
    </w:p>
    <w:p w:rsidR="001A4412" w:rsidRPr="00433F51" w:rsidRDefault="007A3847" w:rsidP="00374B54">
      <w:pPr>
        <w:spacing w:line="276" w:lineRule="auto"/>
        <w:jc w:val="both"/>
        <w:rPr>
          <w:rFonts w:ascii="Arial" w:hAnsi="Arial" w:cs="Arial"/>
          <w:lang w:val="es-AR"/>
        </w:rPr>
      </w:pPr>
      <w:r w:rsidRPr="00433F51">
        <w:rPr>
          <w:rFonts w:ascii="Arial" w:hAnsi="Arial" w:cs="Arial"/>
          <w:bCs/>
          <w:lang w:val="es-AR"/>
        </w:rPr>
        <w:t>IARC tiene varios programas, entre ellos, las reuniones periódicas para c</w:t>
      </w:r>
      <w:r w:rsidR="00374B54" w:rsidRPr="00433F51">
        <w:rPr>
          <w:rFonts w:ascii="Arial" w:hAnsi="Arial" w:cs="Arial"/>
          <w:bCs/>
          <w:lang w:val="es-AR"/>
        </w:rPr>
        <w:t>lasificar todo tipo de agentes</w:t>
      </w:r>
      <w:r w:rsidRPr="00433F51">
        <w:rPr>
          <w:rFonts w:ascii="Arial" w:hAnsi="Arial" w:cs="Arial"/>
          <w:bCs/>
          <w:lang w:val="es-AR"/>
        </w:rPr>
        <w:t xml:space="preserve">, sobre los que publican </w:t>
      </w:r>
      <w:r w:rsidR="00895B28" w:rsidRPr="00433F51">
        <w:rPr>
          <w:rFonts w:ascii="Arial" w:hAnsi="Arial" w:cs="Arial"/>
          <w:bCs/>
          <w:lang w:val="es-AR"/>
        </w:rPr>
        <w:t xml:space="preserve">las </w:t>
      </w:r>
      <w:r w:rsidRPr="00433F51">
        <w:rPr>
          <w:rFonts w:ascii="Arial" w:hAnsi="Arial" w:cs="Arial"/>
          <w:bCs/>
          <w:lang w:val="es-AR"/>
        </w:rPr>
        <w:t xml:space="preserve">Series de </w:t>
      </w:r>
      <w:r w:rsidR="00433F51" w:rsidRPr="00433F51">
        <w:rPr>
          <w:rFonts w:ascii="Arial" w:hAnsi="Arial" w:cs="Arial"/>
          <w:bCs/>
          <w:lang w:val="es-AR"/>
        </w:rPr>
        <w:t>Monografías</w:t>
      </w:r>
      <w:r w:rsidRPr="00433F51">
        <w:rPr>
          <w:rFonts w:ascii="Arial" w:hAnsi="Arial" w:cs="Arial"/>
          <w:bCs/>
          <w:lang w:val="es-AR"/>
        </w:rPr>
        <w:t xml:space="preserve">. </w:t>
      </w:r>
      <w:r w:rsidR="00374B54" w:rsidRPr="00433F51">
        <w:rPr>
          <w:rFonts w:ascii="Arial" w:hAnsi="Arial" w:cs="Arial"/>
          <w:bCs/>
          <w:lang w:val="es-AR"/>
        </w:rPr>
        <w:t>Para ello, se convocan paneles de expertos en diferentes disciplinas, que an</w:t>
      </w:r>
      <w:r w:rsidR="001A4412" w:rsidRPr="00433F51">
        <w:rPr>
          <w:rFonts w:ascii="Arial" w:hAnsi="Arial" w:cs="Arial"/>
          <w:lang w:val="es-AR"/>
        </w:rPr>
        <w:t>aliza</w:t>
      </w:r>
      <w:r w:rsidR="00374B54" w:rsidRPr="00433F51">
        <w:rPr>
          <w:rFonts w:ascii="Arial" w:hAnsi="Arial" w:cs="Arial"/>
          <w:lang w:val="es-AR"/>
        </w:rPr>
        <w:t>n</w:t>
      </w:r>
      <w:r w:rsidR="001A4412" w:rsidRPr="00433F51">
        <w:rPr>
          <w:rFonts w:ascii="Arial" w:hAnsi="Arial" w:cs="Arial"/>
          <w:lang w:val="es-AR"/>
        </w:rPr>
        <w:t xml:space="preserve"> publicaciones internacionales de temas referidos al cáncer;</w:t>
      </w:r>
      <w:r w:rsidR="00374B54" w:rsidRPr="00433F51">
        <w:rPr>
          <w:rFonts w:ascii="Arial" w:hAnsi="Arial" w:cs="Arial"/>
          <w:lang w:val="es-AR"/>
        </w:rPr>
        <w:t xml:space="preserve"> preparar listas en las que se clasifica a los agentes (sustancias químicas, agentes físicos, actividades y estil</w:t>
      </w:r>
      <w:r w:rsidR="00433F51" w:rsidRPr="00433F51">
        <w:rPr>
          <w:rFonts w:ascii="Arial" w:hAnsi="Arial" w:cs="Arial"/>
          <w:lang w:val="es-AR"/>
        </w:rPr>
        <w:t>os de vida</w:t>
      </w:r>
      <w:r w:rsidR="00374B54" w:rsidRPr="00433F51">
        <w:rPr>
          <w:rFonts w:ascii="Arial" w:hAnsi="Arial" w:cs="Arial"/>
          <w:lang w:val="es-AR"/>
        </w:rPr>
        <w:t>) por su  potencial carcinogénico y publican sus opiniones</w:t>
      </w:r>
      <w:r w:rsidR="00433F51" w:rsidRPr="00433F51">
        <w:rPr>
          <w:rFonts w:ascii="Arial" w:hAnsi="Arial" w:cs="Arial"/>
          <w:lang w:val="es-AR"/>
        </w:rPr>
        <w:t>.</w:t>
      </w:r>
    </w:p>
    <w:p w:rsidR="001A4412" w:rsidRPr="00433F51" w:rsidRDefault="00374B54" w:rsidP="001A4412">
      <w:pPr>
        <w:spacing w:line="276" w:lineRule="auto"/>
        <w:jc w:val="both"/>
        <w:rPr>
          <w:rFonts w:ascii="Arial" w:hAnsi="Arial" w:cs="Arial"/>
          <w:lang w:val="es-AR"/>
        </w:rPr>
      </w:pPr>
      <w:r w:rsidRPr="00433F51">
        <w:rPr>
          <w:rFonts w:ascii="Arial" w:hAnsi="Arial" w:cs="Arial"/>
          <w:lang w:val="es-AR"/>
        </w:rPr>
        <w:t xml:space="preserve">Estas </w:t>
      </w:r>
      <w:r w:rsidR="001A4412" w:rsidRPr="00433F51">
        <w:rPr>
          <w:rFonts w:ascii="Arial" w:hAnsi="Arial" w:cs="Arial"/>
          <w:lang w:val="es-AR"/>
        </w:rPr>
        <w:t>listas están basadas en un sistema propio de clasificación</w:t>
      </w:r>
      <w:r w:rsidRPr="00433F51">
        <w:rPr>
          <w:rStyle w:val="Refdenotaalpie"/>
          <w:rFonts w:ascii="Arial" w:hAnsi="Arial" w:cs="Arial"/>
          <w:b/>
          <w:lang w:val="es-AR"/>
        </w:rPr>
        <w:footnoteReference w:id="1"/>
      </w:r>
      <w:r w:rsidR="001A4412" w:rsidRPr="00433F51">
        <w:rPr>
          <w:rFonts w:ascii="Arial" w:hAnsi="Arial" w:cs="Arial"/>
          <w:lang w:val="es-AR"/>
        </w:rPr>
        <w:t xml:space="preserve">, que </w:t>
      </w:r>
      <w:r w:rsidRPr="00433F51">
        <w:rPr>
          <w:rFonts w:ascii="Arial" w:hAnsi="Arial" w:cs="Arial"/>
          <w:lang w:val="es-AR"/>
        </w:rPr>
        <w:t xml:space="preserve">es cualitativo y </w:t>
      </w:r>
      <w:r w:rsidR="00342255" w:rsidRPr="00433F51">
        <w:rPr>
          <w:rFonts w:ascii="Arial" w:hAnsi="Arial" w:cs="Arial"/>
          <w:lang w:val="es-AR"/>
        </w:rPr>
        <w:t>de naturaleza dif</w:t>
      </w:r>
      <w:r w:rsidR="001A4412" w:rsidRPr="00433F51">
        <w:rPr>
          <w:rFonts w:ascii="Arial" w:hAnsi="Arial" w:cs="Arial"/>
          <w:lang w:val="es-AR"/>
        </w:rPr>
        <w:t>ere</w:t>
      </w:r>
      <w:r w:rsidR="00342255" w:rsidRPr="00433F51">
        <w:rPr>
          <w:rFonts w:ascii="Arial" w:hAnsi="Arial" w:cs="Arial"/>
          <w:lang w:val="es-AR"/>
        </w:rPr>
        <w:t xml:space="preserve">nte a los sistemas de análisis de riesgo </w:t>
      </w:r>
      <w:r w:rsidR="001A4412" w:rsidRPr="00433F51">
        <w:rPr>
          <w:rFonts w:ascii="Arial" w:hAnsi="Arial" w:cs="Arial"/>
          <w:lang w:val="es-AR"/>
        </w:rPr>
        <w:t xml:space="preserve"> </w:t>
      </w:r>
      <w:r w:rsidR="00342255" w:rsidRPr="00433F51">
        <w:rPr>
          <w:rFonts w:ascii="Arial" w:hAnsi="Arial" w:cs="Arial"/>
          <w:lang w:val="es-AR"/>
        </w:rPr>
        <w:t>aplicado</w:t>
      </w:r>
      <w:r w:rsidR="00895B28" w:rsidRPr="00433F51">
        <w:rPr>
          <w:rFonts w:ascii="Arial" w:hAnsi="Arial" w:cs="Arial"/>
          <w:lang w:val="es-AR"/>
        </w:rPr>
        <w:t>s</w:t>
      </w:r>
      <w:r w:rsidR="00342255" w:rsidRPr="00433F51">
        <w:rPr>
          <w:rFonts w:ascii="Arial" w:hAnsi="Arial" w:cs="Arial"/>
          <w:lang w:val="es-AR"/>
        </w:rPr>
        <w:t xml:space="preserve"> por </w:t>
      </w:r>
      <w:r w:rsidR="001A4412" w:rsidRPr="00433F51">
        <w:rPr>
          <w:rFonts w:ascii="Arial" w:hAnsi="Arial" w:cs="Arial"/>
          <w:lang w:val="es-AR"/>
        </w:rPr>
        <w:t>autoridades regulatorias del mundo, como las de Estados Unidos</w:t>
      </w:r>
      <w:r w:rsidR="00433F51" w:rsidRPr="00433F51">
        <w:rPr>
          <w:rFonts w:ascii="Arial" w:hAnsi="Arial" w:cs="Arial"/>
          <w:lang w:val="es-AR"/>
        </w:rPr>
        <w:t>,</w:t>
      </w:r>
      <w:r w:rsidR="001A4412" w:rsidRPr="00433F51">
        <w:rPr>
          <w:rFonts w:ascii="Arial" w:hAnsi="Arial" w:cs="Arial"/>
          <w:lang w:val="es-AR"/>
        </w:rPr>
        <w:t xml:space="preserve"> la </w:t>
      </w:r>
      <w:r w:rsidR="00433F51" w:rsidRPr="00433F51">
        <w:rPr>
          <w:rFonts w:ascii="Arial" w:hAnsi="Arial" w:cs="Arial"/>
          <w:lang w:val="es-AR"/>
        </w:rPr>
        <w:t xml:space="preserve">de la </w:t>
      </w:r>
      <w:r w:rsidR="001A4412" w:rsidRPr="00433F51">
        <w:rPr>
          <w:rFonts w:ascii="Arial" w:hAnsi="Arial" w:cs="Arial"/>
          <w:lang w:val="es-AR"/>
        </w:rPr>
        <w:t>Unión Europea</w:t>
      </w:r>
      <w:r w:rsidR="00433F51" w:rsidRPr="00433F51">
        <w:rPr>
          <w:rFonts w:ascii="Arial" w:hAnsi="Arial" w:cs="Arial"/>
          <w:lang w:val="es-AR"/>
        </w:rPr>
        <w:t xml:space="preserve"> y la de Argentina</w:t>
      </w:r>
      <w:r w:rsidR="001A4412" w:rsidRPr="00433F51">
        <w:rPr>
          <w:rFonts w:ascii="Arial" w:hAnsi="Arial" w:cs="Arial"/>
          <w:lang w:val="es-AR"/>
        </w:rPr>
        <w:t xml:space="preserve">. </w:t>
      </w:r>
    </w:p>
    <w:p w:rsidR="005D727B" w:rsidRDefault="005D727B" w:rsidP="001A4412">
      <w:pPr>
        <w:spacing w:line="276" w:lineRule="auto"/>
        <w:jc w:val="both"/>
        <w:rPr>
          <w:rFonts w:ascii="Arial" w:hAnsi="Arial" w:cs="Arial"/>
          <w:lang w:val="es-AR"/>
        </w:rPr>
      </w:pPr>
      <w:r w:rsidRPr="00433F51">
        <w:rPr>
          <w:rFonts w:ascii="Arial" w:hAnsi="Arial" w:cs="Arial"/>
          <w:lang w:val="es-AR"/>
        </w:rPr>
        <w:t xml:space="preserve">Es importante </w:t>
      </w:r>
      <w:r w:rsidR="00F702CB" w:rsidRPr="00433F51">
        <w:rPr>
          <w:rFonts w:ascii="Arial" w:hAnsi="Arial" w:cs="Arial"/>
          <w:lang w:val="es-AR"/>
        </w:rPr>
        <w:t xml:space="preserve">destacar que </w:t>
      </w:r>
      <w:r w:rsidR="00F702CB" w:rsidRPr="00433F51">
        <w:rPr>
          <w:rFonts w:ascii="Arial" w:hAnsi="Arial" w:cs="Arial"/>
          <w:b/>
          <w:lang w:val="es-AR"/>
        </w:rPr>
        <w:t>la IARC no llevó a cabo nuevos estudios</w:t>
      </w:r>
      <w:r w:rsidR="00F702CB" w:rsidRPr="00433F51">
        <w:rPr>
          <w:rFonts w:ascii="Arial" w:hAnsi="Arial" w:cs="Arial"/>
          <w:lang w:val="es-AR"/>
        </w:rPr>
        <w:t xml:space="preserve"> </w:t>
      </w:r>
      <w:r w:rsidR="00342255" w:rsidRPr="00433F51">
        <w:rPr>
          <w:rFonts w:ascii="Arial" w:hAnsi="Arial" w:cs="Arial"/>
          <w:lang w:val="es-AR"/>
        </w:rPr>
        <w:t xml:space="preserve">sino que </w:t>
      </w:r>
      <w:r w:rsidR="00F702CB" w:rsidRPr="00433F51">
        <w:rPr>
          <w:rFonts w:ascii="Arial" w:hAnsi="Arial" w:cs="Arial"/>
          <w:lang w:val="es-AR"/>
        </w:rPr>
        <w:t xml:space="preserve"> concluyó </w:t>
      </w:r>
      <w:r w:rsidR="00342255" w:rsidRPr="00433F51">
        <w:rPr>
          <w:rFonts w:ascii="Arial" w:hAnsi="Arial" w:cs="Arial"/>
          <w:lang w:val="es-AR"/>
        </w:rPr>
        <w:t xml:space="preserve">en base a literatura seleccionada. Si bien la monografía completa con los fundamentos y toda la bibliografía consultada, aún no ha sido publicada, es </w:t>
      </w:r>
      <w:r w:rsidR="00342255" w:rsidRPr="00433F51">
        <w:rPr>
          <w:rFonts w:ascii="Arial" w:hAnsi="Arial" w:cs="Arial"/>
          <w:lang w:val="es-AR"/>
        </w:rPr>
        <w:lastRenderedPageBreak/>
        <w:t xml:space="preserve">notable la discrepancia entre las conclusiones adelantadas por </w:t>
      </w:r>
      <w:r w:rsidR="00567E4E">
        <w:rPr>
          <w:rFonts w:ascii="Arial" w:hAnsi="Arial" w:cs="Arial"/>
          <w:lang w:val="es-AR"/>
        </w:rPr>
        <w:t xml:space="preserve">la </w:t>
      </w:r>
      <w:r w:rsidR="00342255" w:rsidRPr="00433F51">
        <w:rPr>
          <w:rFonts w:ascii="Arial" w:hAnsi="Arial" w:cs="Arial"/>
          <w:lang w:val="es-AR"/>
        </w:rPr>
        <w:t xml:space="preserve">IARC en el resumen de </w:t>
      </w:r>
      <w:r w:rsidR="00895B28" w:rsidRPr="00433F51">
        <w:rPr>
          <w:rFonts w:ascii="Arial" w:hAnsi="Arial" w:cs="Arial"/>
          <w:lang w:val="es-AR"/>
        </w:rPr>
        <w:t xml:space="preserve">la revista </w:t>
      </w:r>
      <w:r w:rsidR="000C392A">
        <w:rPr>
          <w:rFonts w:ascii="Arial" w:hAnsi="Arial" w:cs="Arial"/>
          <w:lang w:val="es-AR"/>
        </w:rPr>
        <w:t>“</w:t>
      </w:r>
      <w:proofErr w:type="spellStart"/>
      <w:r w:rsidR="00895B28" w:rsidRPr="000C392A">
        <w:rPr>
          <w:rFonts w:ascii="Arial" w:hAnsi="Arial" w:cs="Arial"/>
          <w:i/>
          <w:lang w:val="es-AR"/>
        </w:rPr>
        <w:t>The</w:t>
      </w:r>
      <w:proofErr w:type="spellEnd"/>
      <w:r w:rsidR="00895B28" w:rsidRPr="000C392A">
        <w:rPr>
          <w:rFonts w:ascii="Arial" w:hAnsi="Arial" w:cs="Arial"/>
          <w:i/>
          <w:lang w:val="es-AR"/>
        </w:rPr>
        <w:t xml:space="preserve"> </w:t>
      </w:r>
      <w:proofErr w:type="spellStart"/>
      <w:r w:rsidR="00342255" w:rsidRPr="000C392A">
        <w:rPr>
          <w:rFonts w:ascii="Arial" w:hAnsi="Arial" w:cs="Arial"/>
          <w:i/>
          <w:lang w:val="es-AR"/>
        </w:rPr>
        <w:t>Lancet</w:t>
      </w:r>
      <w:proofErr w:type="spellEnd"/>
      <w:r w:rsidR="000C392A">
        <w:rPr>
          <w:rFonts w:ascii="Arial" w:hAnsi="Arial" w:cs="Arial"/>
          <w:lang w:val="es-AR"/>
        </w:rPr>
        <w:t>”</w:t>
      </w:r>
      <w:r w:rsidR="00342255" w:rsidRPr="00433F51">
        <w:rPr>
          <w:rFonts w:ascii="Arial" w:hAnsi="Arial" w:cs="Arial"/>
          <w:lang w:val="es-AR"/>
        </w:rPr>
        <w:t xml:space="preserve"> </w:t>
      </w:r>
      <w:r w:rsidR="00895B28" w:rsidRPr="00433F51">
        <w:rPr>
          <w:rFonts w:ascii="Arial" w:hAnsi="Arial" w:cs="Arial"/>
          <w:lang w:val="es-AR"/>
        </w:rPr>
        <w:t xml:space="preserve">de </w:t>
      </w:r>
      <w:r w:rsidR="00433F51" w:rsidRPr="00433F51">
        <w:rPr>
          <w:rFonts w:ascii="Arial" w:hAnsi="Arial" w:cs="Arial"/>
          <w:lang w:val="es-AR"/>
        </w:rPr>
        <w:t>Marzo</w:t>
      </w:r>
      <w:r w:rsidR="00895B28" w:rsidRPr="00433F51">
        <w:rPr>
          <w:rFonts w:ascii="Arial" w:hAnsi="Arial" w:cs="Arial"/>
          <w:lang w:val="es-AR"/>
        </w:rPr>
        <w:t xml:space="preserve"> de este año</w:t>
      </w:r>
      <w:r w:rsidR="00433F51">
        <w:rPr>
          <w:rFonts w:ascii="Arial" w:hAnsi="Arial" w:cs="Arial"/>
          <w:lang w:val="es-AR"/>
        </w:rPr>
        <w:t xml:space="preserve"> </w:t>
      </w:r>
      <w:r w:rsidR="00342255" w:rsidRPr="00433F51">
        <w:rPr>
          <w:rStyle w:val="Refdenotaalpie"/>
          <w:rFonts w:ascii="Arial" w:hAnsi="Arial" w:cs="Arial"/>
          <w:b/>
          <w:lang w:val="es-AR"/>
        </w:rPr>
        <w:footnoteReference w:id="2"/>
      </w:r>
      <w:r w:rsidR="00342255" w:rsidRPr="00433F51">
        <w:rPr>
          <w:rFonts w:ascii="Arial" w:hAnsi="Arial" w:cs="Arial"/>
          <w:lang w:val="es-AR"/>
        </w:rPr>
        <w:t xml:space="preserve"> y las conclusiones de los cuerpos d</w:t>
      </w:r>
      <w:r w:rsidR="00567E4E">
        <w:rPr>
          <w:rFonts w:ascii="Arial" w:hAnsi="Arial" w:cs="Arial"/>
          <w:lang w:val="es-AR"/>
        </w:rPr>
        <w:t>e expertos que han revisado estos</w:t>
      </w:r>
      <w:r w:rsidR="00342255" w:rsidRPr="00433F51">
        <w:rPr>
          <w:rFonts w:ascii="Arial" w:hAnsi="Arial" w:cs="Arial"/>
          <w:lang w:val="es-AR"/>
        </w:rPr>
        <w:t xml:space="preserve"> principio</w:t>
      </w:r>
      <w:r w:rsidR="00567E4E">
        <w:rPr>
          <w:rFonts w:ascii="Arial" w:hAnsi="Arial" w:cs="Arial"/>
          <w:lang w:val="es-AR"/>
        </w:rPr>
        <w:t>s</w:t>
      </w:r>
      <w:r w:rsidR="00342255" w:rsidRPr="00433F51">
        <w:rPr>
          <w:rFonts w:ascii="Arial" w:hAnsi="Arial" w:cs="Arial"/>
          <w:lang w:val="es-AR"/>
        </w:rPr>
        <w:t xml:space="preserve"> activo</w:t>
      </w:r>
      <w:r w:rsidR="00567E4E">
        <w:rPr>
          <w:rFonts w:ascii="Arial" w:hAnsi="Arial" w:cs="Arial"/>
          <w:lang w:val="es-AR"/>
        </w:rPr>
        <w:t>s</w:t>
      </w:r>
      <w:r w:rsidR="00342255" w:rsidRPr="00433F51">
        <w:rPr>
          <w:rFonts w:ascii="Arial" w:hAnsi="Arial" w:cs="Arial"/>
          <w:lang w:val="es-AR"/>
        </w:rPr>
        <w:t xml:space="preserve"> a lo largo de décadas de evaluaci</w:t>
      </w:r>
      <w:r w:rsidR="00895B28" w:rsidRPr="00433F51">
        <w:rPr>
          <w:rFonts w:ascii="Arial" w:hAnsi="Arial" w:cs="Arial"/>
          <w:lang w:val="es-AR"/>
        </w:rPr>
        <w:t>ones</w:t>
      </w:r>
      <w:r w:rsidR="00342255" w:rsidRPr="00433F51">
        <w:rPr>
          <w:rFonts w:ascii="Arial" w:hAnsi="Arial" w:cs="Arial"/>
          <w:lang w:val="es-AR"/>
        </w:rPr>
        <w:t>.</w:t>
      </w:r>
      <w:r w:rsidR="00342255">
        <w:rPr>
          <w:rFonts w:ascii="Arial" w:hAnsi="Arial" w:cs="Arial"/>
          <w:lang w:val="es-AR"/>
        </w:rPr>
        <w:t xml:space="preserve"> </w:t>
      </w:r>
    </w:p>
    <w:p w:rsidR="00EE1CB9" w:rsidRPr="00433F51" w:rsidRDefault="00A017F0" w:rsidP="009A09EF">
      <w:pPr>
        <w:spacing w:line="276" w:lineRule="auto"/>
        <w:jc w:val="both"/>
        <w:rPr>
          <w:rFonts w:ascii="Arial" w:hAnsi="Arial" w:cs="Arial"/>
          <w:lang w:val="es-AR"/>
        </w:rPr>
      </w:pPr>
      <w:r w:rsidRPr="00433F51">
        <w:rPr>
          <w:rFonts w:ascii="Arial" w:hAnsi="Arial" w:cs="Arial"/>
          <w:lang w:val="es-AR"/>
        </w:rPr>
        <w:t>La IARC utiliza un</w:t>
      </w:r>
      <w:r w:rsidR="009A09EF" w:rsidRPr="00433F51">
        <w:rPr>
          <w:rFonts w:ascii="Arial" w:hAnsi="Arial" w:cs="Arial"/>
          <w:lang w:val="es-AR"/>
        </w:rPr>
        <w:t xml:space="preserve"> criterio </w:t>
      </w:r>
      <w:r w:rsidRPr="00433F51">
        <w:rPr>
          <w:rFonts w:ascii="Arial" w:hAnsi="Arial" w:cs="Arial"/>
          <w:lang w:val="es-AR"/>
        </w:rPr>
        <w:t>para establecer posibles asociaciones con el cáncer en los seres humanos</w:t>
      </w:r>
      <w:r w:rsidR="007D7DEE" w:rsidRPr="00433F51">
        <w:rPr>
          <w:rFonts w:ascii="Arial" w:hAnsi="Arial" w:cs="Arial"/>
          <w:lang w:val="es-AR"/>
        </w:rPr>
        <w:t xml:space="preserve"> sin considerar </w:t>
      </w:r>
      <w:r w:rsidRPr="00433F51">
        <w:rPr>
          <w:rFonts w:ascii="Arial" w:hAnsi="Arial" w:cs="Arial"/>
          <w:lang w:val="es-AR"/>
        </w:rPr>
        <w:t>el "</w:t>
      </w:r>
      <w:r w:rsidRPr="00433F51">
        <w:rPr>
          <w:rFonts w:ascii="Arial" w:hAnsi="Arial" w:cs="Arial"/>
          <w:b/>
          <w:lang w:val="es-AR"/>
        </w:rPr>
        <w:t>riesgo</w:t>
      </w:r>
      <w:r w:rsidR="007D7DEE" w:rsidRPr="00433F51">
        <w:rPr>
          <w:rFonts w:ascii="Arial" w:hAnsi="Arial" w:cs="Arial"/>
          <w:lang w:val="es-AR"/>
        </w:rPr>
        <w:t xml:space="preserve">" de daño a los </w:t>
      </w:r>
      <w:r w:rsidR="00567E4E">
        <w:rPr>
          <w:rFonts w:ascii="Arial" w:hAnsi="Arial" w:cs="Arial"/>
          <w:lang w:val="es-AR"/>
        </w:rPr>
        <w:t>mismos</w:t>
      </w:r>
      <w:r w:rsidR="007D7DEE" w:rsidRPr="00433F51">
        <w:rPr>
          <w:rFonts w:ascii="Arial" w:hAnsi="Arial" w:cs="Arial"/>
          <w:lang w:val="es-AR"/>
        </w:rPr>
        <w:t xml:space="preserve">. En el caso de la categoría 2, </w:t>
      </w:r>
      <w:r w:rsidRPr="00433F51">
        <w:rPr>
          <w:rFonts w:ascii="Arial" w:hAnsi="Arial" w:cs="Arial"/>
          <w:lang w:val="es-AR"/>
        </w:rPr>
        <w:t>considera "probables” o “posibles" asociaciones con el cáncer</w:t>
      </w:r>
      <w:r w:rsidR="007D7DEE" w:rsidRPr="00433F51">
        <w:rPr>
          <w:rFonts w:ascii="Arial" w:hAnsi="Arial" w:cs="Arial"/>
          <w:lang w:val="es-AR"/>
        </w:rPr>
        <w:t>, categoría que se basa en una evidencia de carcinogenicidad</w:t>
      </w:r>
      <w:r w:rsidR="007D7DEE" w:rsidRPr="00433F51">
        <w:rPr>
          <w:rFonts w:ascii="Arial" w:hAnsi="Arial" w:cs="Arial"/>
          <w:b/>
          <w:lang w:val="es-AR"/>
        </w:rPr>
        <w:t xml:space="preserve"> limitada</w:t>
      </w:r>
      <w:r w:rsidR="007D7DEE" w:rsidRPr="00433F51">
        <w:rPr>
          <w:rFonts w:ascii="Arial" w:hAnsi="Arial" w:cs="Arial"/>
          <w:lang w:val="es-AR"/>
        </w:rPr>
        <w:t>, considerada creíble por el grupo de expertos, pero que ellos mismos advierten que puede estar afectada por “el azar, el sesgo o factores de confusión que no pueden descartarse confiablemente</w:t>
      </w:r>
      <w:r w:rsidR="00433F51" w:rsidRPr="00433F51">
        <w:rPr>
          <w:rFonts w:ascii="Arial" w:hAnsi="Arial" w:cs="Arial"/>
          <w:lang w:val="es-AR"/>
        </w:rPr>
        <w:t>”</w:t>
      </w:r>
      <w:r w:rsidR="007D7DEE" w:rsidRPr="00433F51">
        <w:rPr>
          <w:rStyle w:val="Refdenotaalpie"/>
          <w:rFonts w:ascii="Arial" w:hAnsi="Arial" w:cs="Arial"/>
          <w:b/>
          <w:lang w:val="es-AR"/>
        </w:rPr>
        <w:footnoteReference w:id="3"/>
      </w:r>
      <w:r w:rsidR="007D7DEE" w:rsidRPr="00433F51">
        <w:rPr>
          <w:rFonts w:ascii="Arial" w:hAnsi="Arial" w:cs="Arial"/>
          <w:lang w:val="es-AR"/>
        </w:rPr>
        <w:t>.</w:t>
      </w:r>
      <w:r w:rsidR="009A09EF" w:rsidRPr="00433F51">
        <w:rPr>
          <w:rFonts w:ascii="Arial" w:hAnsi="Arial" w:cs="Arial"/>
          <w:lang w:val="es-AR"/>
        </w:rPr>
        <w:t xml:space="preserve"> </w:t>
      </w:r>
      <w:r w:rsidR="009A09EF" w:rsidRPr="00433F51">
        <w:rPr>
          <w:rFonts w:ascii="Arial" w:hAnsi="Arial" w:cs="Arial"/>
          <w:b/>
          <w:i/>
          <w:lang w:val="es-AR"/>
        </w:rPr>
        <w:t xml:space="preserve">Esto significa que algo probablemente sea cancerígeno </w:t>
      </w:r>
      <w:r w:rsidR="006914A4" w:rsidRPr="00433F51">
        <w:rPr>
          <w:rFonts w:ascii="Arial" w:hAnsi="Arial" w:cs="Arial"/>
          <w:b/>
          <w:i/>
          <w:lang w:val="es-AR"/>
        </w:rPr>
        <w:t xml:space="preserve">pero, </w:t>
      </w:r>
      <w:r w:rsidR="009A09EF" w:rsidRPr="00433F51">
        <w:rPr>
          <w:rFonts w:ascii="Arial" w:hAnsi="Arial" w:cs="Arial"/>
          <w:b/>
          <w:i/>
          <w:lang w:val="es-AR"/>
        </w:rPr>
        <w:t xml:space="preserve">por otro lado, </w:t>
      </w:r>
      <w:r w:rsidR="00F34A77">
        <w:rPr>
          <w:rFonts w:ascii="Arial" w:hAnsi="Arial" w:cs="Arial"/>
          <w:b/>
          <w:i/>
          <w:lang w:val="es-AR"/>
        </w:rPr>
        <w:t xml:space="preserve">no hay certeza de que </w:t>
      </w:r>
      <w:r w:rsidR="009A09EF" w:rsidRPr="00433F51">
        <w:rPr>
          <w:rFonts w:ascii="Arial" w:hAnsi="Arial" w:cs="Arial"/>
          <w:b/>
          <w:i/>
          <w:lang w:val="es-AR"/>
        </w:rPr>
        <w:t>lo sea</w:t>
      </w:r>
      <w:r w:rsidR="00433F51">
        <w:rPr>
          <w:rFonts w:ascii="Arial" w:hAnsi="Arial" w:cs="Arial"/>
          <w:lang w:val="es-AR"/>
        </w:rPr>
        <w:t>.</w:t>
      </w:r>
    </w:p>
    <w:p w:rsidR="00AA43E7" w:rsidRPr="00AA29A8" w:rsidRDefault="00AA43E7" w:rsidP="006914A4">
      <w:pPr>
        <w:pStyle w:val="bodytext"/>
        <w:shd w:val="clear" w:color="auto" w:fill="FFFFFF"/>
        <w:spacing w:before="75" w:beforeAutospacing="0" w:after="75" w:afterAutospacing="0" w:line="312" w:lineRule="atLeast"/>
        <w:jc w:val="both"/>
        <w:rPr>
          <w:rFonts w:ascii="Arial" w:hAnsi="Arial" w:cs="Arial"/>
          <w:color w:val="000000"/>
          <w:lang w:val="es-AR"/>
        </w:rPr>
      </w:pPr>
      <w:r w:rsidRPr="00AA29A8">
        <w:rPr>
          <w:rFonts w:ascii="Arial" w:hAnsi="Arial" w:cs="Arial"/>
          <w:color w:val="000000"/>
          <w:lang w:val="es-AR"/>
        </w:rPr>
        <w:t>La “</w:t>
      </w:r>
      <w:r w:rsidRPr="00AA29A8">
        <w:rPr>
          <w:rFonts w:ascii="Arial" w:hAnsi="Arial" w:cs="Arial"/>
          <w:bCs/>
          <w:color w:val="000000"/>
          <w:lang w:val="es-AR"/>
        </w:rPr>
        <w:t>Reunión Conjunta FAO/OMS sobre residuos de plaguicidas</w:t>
      </w:r>
      <w:r w:rsidRPr="00AA29A8">
        <w:rPr>
          <w:rFonts w:ascii="Arial" w:hAnsi="Arial" w:cs="Arial"/>
          <w:color w:val="000000"/>
          <w:lang w:val="es-AR"/>
        </w:rPr>
        <w:t xml:space="preserve">” (JMPR, en </w:t>
      </w:r>
      <w:r w:rsidR="00AA29A8" w:rsidRPr="00AA29A8">
        <w:rPr>
          <w:rFonts w:ascii="Arial" w:hAnsi="Arial" w:cs="Arial"/>
          <w:color w:val="000000"/>
          <w:lang w:val="es-AR"/>
        </w:rPr>
        <w:t xml:space="preserve">por sus siglas en </w:t>
      </w:r>
      <w:r w:rsidRPr="00AA29A8">
        <w:rPr>
          <w:rFonts w:ascii="Arial" w:hAnsi="Arial" w:cs="Arial"/>
          <w:color w:val="000000"/>
          <w:lang w:val="es-AR"/>
        </w:rPr>
        <w:t xml:space="preserve">inglés) es un cuerpo ad hoc de expertos administrado conjuntamente por la FAO y la OMS que se ha reunido anualmente desde 1963 para realizar evaluaciones científicas de residuos de plaguicidas en alimentos. </w:t>
      </w:r>
    </w:p>
    <w:p w:rsidR="00BC513D" w:rsidRDefault="00AA43E7" w:rsidP="006914A4">
      <w:pPr>
        <w:spacing w:line="276" w:lineRule="auto"/>
        <w:jc w:val="both"/>
        <w:rPr>
          <w:rFonts w:ascii="Arial" w:hAnsi="Arial" w:cs="Arial"/>
          <w:lang w:val="es-AR"/>
        </w:rPr>
      </w:pPr>
      <w:r w:rsidRPr="00AA29A8">
        <w:rPr>
          <w:rFonts w:ascii="Arial" w:hAnsi="Arial" w:cs="Arial"/>
          <w:lang w:val="es-AR"/>
        </w:rPr>
        <w:t>Este c</w:t>
      </w:r>
      <w:r w:rsidR="00BC513D" w:rsidRPr="00AA29A8">
        <w:rPr>
          <w:rFonts w:ascii="Arial" w:hAnsi="Arial" w:cs="Arial"/>
          <w:lang w:val="es-AR"/>
        </w:rPr>
        <w:t xml:space="preserve">omité conjunto </w:t>
      </w:r>
      <w:r w:rsidRPr="00AA29A8">
        <w:rPr>
          <w:rFonts w:ascii="Arial" w:hAnsi="Arial" w:cs="Arial"/>
          <w:lang w:val="es-AR"/>
        </w:rPr>
        <w:t>FAO/OMS</w:t>
      </w:r>
      <w:r w:rsidR="00BC513D" w:rsidRPr="00AA29A8">
        <w:rPr>
          <w:rFonts w:ascii="Arial" w:hAnsi="Arial" w:cs="Arial"/>
          <w:lang w:val="es-AR"/>
        </w:rPr>
        <w:t xml:space="preserve">, </w:t>
      </w:r>
      <w:r w:rsidRPr="00AA29A8">
        <w:rPr>
          <w:rFonts w:ascii="Arial" w:hAnsi="Arial" w:cs="Arial"/>
          <w:lang w:val="es-AR"/>
        </w:rPr>
        <w:t>evaluó periódicamente al g</w:t>
      </w:r>
      <w:r w:rsidR="00BC513D" w:rsidRPr="00AA29A8">
        <w:rPr>
          <w:rFonts w:ascii="Arial" w:hAnsi="Arial" w:cs="Arial"/>
          <w:lang w:val="es-AR"/>
        </w:rPr>
        <w:t xml:space="preserve">lifosato </w:t>
      </w:r>
      <w:r w:rsidR="006914A4" w:rsidRPr="00AA29A8">
        <w:rPr>
          <w:rFonts w:ascii="Arial" w:hAnsi="Arial" w:cs="Arial"/>
          <w:lang w:val="es-AR"/>
        </w:rPr>
        <w:t xml:space="preserve">durante los últimos 30 años </w:t>
      </w:r>
      <w:r w:rsidR="00BC513D" w:rsidRPr="00AA29A8">
        <w:rPr>
          <w:rFonts w:ascii="Arial" w:hAnsi="Arial" w:cs="Arial"/>
          <w:lang w:val="es-AR"/>
        </w:rPr>
        <w:t>y definió que</w:t>
      </w:r>
      <w:r w:rsidR="006914A4" w:rsidRPr="00AA29A8">
        <w:rPr>
          <w:rFonts w:ascii="Arial" w:hAnsi="Arial" w:cs="Arial"/>
          <w:lang w:val="es-AR"/>
        </w:rPr>
        <w:t xml:space="preserve"> </w:t>
      </w:r>
      <w:r w:rsidR="00AA29A8" w:rsidRPr="00AA29A8">
        <w:rPr>
          <w:rFonts w:ascii="Arial" w:hAnsi="Arial" w:cs="Arial"/>
          <w:lang w:val="es-AR"/>
        </w:rPr>
        <w:t>“</w:t>
      </w:r>
      <w:r w:rsidR="00BC513D" w:rsidRPr="00AA29A8">
        <w:rPr>
          <w:rFonts w:ascii="Arial" w:hAnsi="Arial" w:cs="Arial"/>
          <w:i/>
          <w:lang w:val="es-AR"/>
        </w:rPr>
        <w:t>en vista de la ausencia de un potencial carcinogénico en animales y la falta de genotoxicidad en pruebas estándar, la Junta concluyó que es improbable que el glifosato represente un riesgo cancerígeno para los seres humanos</w:t>
      </w:r>
      <w:r w:rsidR="00BC513D" w:rsidRPr="00AA29A8">
        <w:rPr>
          <w:rFonts w:ascii="Arial" w:hAnsi="Arial" w:cs="Arial"/>
          <w:lang w:val="es-AR"/>
        </w:rPr>
        <w:t>”.</w:t>
      </w:r>
      <w:r w:rsidRPr="00AA29A8">
        <w:rPr>
          <w:rStyle w:val="Refdenotaalpie"/>
          <w:rFonts w:ascii="Arial" w:hAnsi="Arial" w:cs="Arial"/>
          <w:b/>
          <w:lang w:val="es-AR"/>
        </w:rPr>
        <w:footnoteReference w:id="4"/>
      </w:r>
      <w:r w:rsidR="00BC513D" w:rsidRPr="006914A4">
        <w:rPr>
          <w:rFonts w:ascii="Arial" w:hAnsi="Arial" w:cs="Arial"/>
          <w:lang w:val="es-AR"/>
        </w:rPr>
        <w:t xml:space="preserve"> </w:t>
      </w:r>
    </w:p>
    <w:p w:rsidR="00567E4E" w:rsidRPr="006914A4" w:rsidRDefault="00567E4E" w:rsidP="006914A4">
      <w:pPr>
        <w:spacing w:line="276" w:lineRule="auto"/>
        <w:jc w:val="both"/>
        <w:rPr>
          <w:rFonts w:ascii="Arial" w:hAnsi="Arial" w:cs="Arial"/>
          <w:lang w:val="es-AR"/>
        </w:rPr>
      </w:pPr>
      <w:r>
        <w:rPr>
          <w:rFonts w:ascii="Arial" w:hAnsi="Arial" w:cs="Arial"/>
          <w:lang w:val="es-AR"/>
        </w:rPr>
        <w:lastRenderedPageBreak/>
        <w:t xml:space="preserve">También, la misma Junta ha evaluado en varias oportunidades al </w:t>
      </w:r>
      <w:proofErr w:type="spellStart"/>
      <w:r>
        <w:rPr>
          <w:rFonts w:ascii="Arial" w:hAnsi="Arial" w:cs="Arial"/>
          <w:lang w:val="es-AR"/>
        </w:rPr>
        <w:t>Malation</w:t>
      </w:r>
      <w:proofErr w:type="spellEnd"/>
      <w:r>
        <w:rPr>
          <w:rFonts w:ascii="Arial" w:hAnsi="Arial" w:cs="Arial"/>
          <w:lang w:val="es-AR"/>
        </w:rPr>
        <w:t xml:space="preserve"> arribando a la misma conclusión</w:t>
      </w:r>
      <w:r w:rsidR="002F4B20">
        <w:rPr>
          <w:rFonts w:ascii="Arial" w:hAnsi="Arial" w:cs="Arial"/>
          <w:lang w:val="es-AR"/>
        </w:rPr>
        <w:t xml:space="preserve"> </w:t>
      </w:r>
      <w:r w:rsidR="002F4B20" w:rsidRPr="002F4B20">
        <w:rPr>
          <w:rFonts w:ascii="Arial" w:hAnsi="Arial" w:cs="Arial"/>
          <w:b/>
          <w:vertAlign w:val="superscript"/>
          <w:lang w:val="es-AR"/>
        </w:rPr>
        <w:t>5</w:t>
      </w:r>
      <w:r>
        <w:rPr>
          <w:rFonts w:ascii="Arial" w:hAnsi="Arial" w:cs="Arial"/>
          <w:lang w:val="es-AR"/>
        </w:rPr>
        <w:t>.</w:t>
      </w:r>
    </w:p>
    <w:p w:rsidR="006914A4" w:rsidRPr="008C0917" w:rsidRDefault="006914A4" w:rsidP="006914A4">
      <w:pPr>
        <w:spacing w:line="276" w:lineRule="auto"/>
        <w:jc w:val="both"/>
        <w:rPr>
          <w:rFonts w:ascii="Arial" w:hAnsi="Arial" w:cs="Arial"/>
          <w:lang w:val="es-AR"/>
        </w:rPr>
      </w:pPr>
      <w:r w:rsidRPr="00AA29A8">
        <w:rPr>
          <w:rFonts w:ascii="Arial" w:hAnsi="Arial" w:cs="Arial"/>
          <w:lang w:val="es-AR"/>
        </w:rPr>
        <w:t xml:space="preserve">La Agencia de Protección Ambiental (EPA), de los Estados Unidos, y el Instituto Alemán de Evaluación del Riesgo (BfR, por sus siglas en Alemán), se encuentran entre las agencias regulatorias más reconocidas que han evaluado al glifosato. </w:t>
      </w:r>
      <w:r w:rsidR="00AA29A8" w:rsidRPr="00AA29A8">
        <w:rPr>
          <w:rFonts w:ascii="Arial" w:hAnsi="Arial" w:cs="Arial"/>
          <w:lang w:val="es-AR"/>
        </w:rPr>
        <w:t>La EPA ha llegado a la conclusión de que el glifosato no representa un riesgo de cáncer para los humanos”</w:t>
      </w:r>
      <w:r w:rsidR="00F115A6">
        <w:rPr>
          <w:rFonts w:ascii="Arial" w:hAnsi="Arial" w:cs="Arial"/>
          <w:lang w:val="es-AR"/>
        </w:rPr>
        <w:t xml:space="preserve"> </w:t>
      </w:r>
      <w:r w:rsidR="00145D45">
        <w:rPr>
          <w:rFonts w:ascii="Arial" w:hAnsi="Arial" w:cs="Arial"/>
          <w:b/>
          <w:vertAlign w:val="superscript"/>
          <w:lang w:val="es-AR"/>
        </w:rPr>
        <w:t>6</w:t>
      </w:r>
      <w:r w:rsidR="00AA29A8">
        <w:rPr>
          <w:rFonts w:ascii="Arial" w:hAnsi="Arial" w:cs="Arial"/>
          <w:lang w:val="es-AR"/>
        </w:rPr>
        <w:t xml:space="preserve">. </w:t>
      </w:r>
      <w:r w:rsidRPr="00AA29A8">
        <w:rPr>
          <w:rFonts w:ascii="Arial" w:hAnsi="Arial" w:cs="Arial"/>
          <w:lang w:val="es-AR"/>
        </w:rPr>
        <w:t xml:space="preserve">En el caso de la BfR, a pedido de la Unión Europea, </w:t>
      </w:r>
      <w:r w:rsidR="00895B28" w:rsidRPr="00AA29A8">
        <w:rPr>
          <w:rFonts w:ascii="Arial" w:hAnsi="Arial" w:cs="Arial"/>
          <w:lang w:val="es-AR"/>
        </w:rPr>
        <w:t>re-</w:t>
      </w:r>
      <w:r w:rsidRPr="00AA29A8">
        <w:rPr>
          <w:rFonts w:ascii="Arial" w:hAnsi="Arial" w:cs="Arial"/>
          <w:lang w:val="es-AR"/>
        </w:rPr>
        <w:t>examinó el glifosato durante los últimos cuatro años concluyendo</w:t>
      </w:r>
      <w:r w:rsidR="00AA29A8">
        <w:rPr>
          <w:rFonts w:ascii="Arial" w:hAnsi="Arial" w:cs="Arial"/>
          <w:lang w:val="es-AR"/>
        </w:rPr>
        <w:t xml:space="preserve"> (Dic</w:t>
      </w:r>
      <w:r w:rsidR="00567E4E">
        <w:rPr>
          <w:rFonts w:ascii="Arial" w:hAnsi="Arial" w:cs="Arial"/>
          <w:lang w:val="es-AR"/>
        </w:rPr>
        <w:t>-</w:t>
      </w:r>
      <w:r w:rsidR="00AA29A8">
        <w:rPr>
          <w:rFonts w:ascii="Arial" w:hAnsi="Arial" w:cs="Arial"/>
          <w:lang w:val="es-AR"/>
        </w:rPr>
        <w:t>2014)</w:t>
      </w:r>
      <w:r w:rsidRPr="00AA29A8">
        <w:rPr>
          <w:rFonts w:ascii="Arial" w:hAnsi="Arial" w:cs="Arial"/>
          <w:lang w:val="es-AR"/>
        </w:rPr>
        <w:t xml:space="preserve"> que no se trata de un carcinógeno.</w:t>
      </w:r>
      <w:r w:rsidR="00F115A6">
        <w:rPr>
          <w:rFonts w:ascii="Arial" w:hAnsi="Arial" w:cs="Arial"/>
          <w:lang w:val="es-AR"/>
        </w:rPr>
        <w:t xml:space="preserve"> </w:t>
      </w:r>
      <w:r w:rsidR="00145D45" w:rsidRPr="00145D45">
        <w:rPr>
          <w:rFonts w:ascii="Arial" w:hAnsi="Arial" w:cs="Arial"/>
          <w:b/>
          <w:vertAlign w:val="superscript"/>
          <w:lang w:val="es-AR"/>
        </w:rPr>
        <w:t>7</w:t>
      </w:r>
    </w:p>
    <w:p w:rsidR="00A16348" w:rsidRPr="008C0917" w:rsidRDefault="00F702CB" w:rsidP="008C0917">
      <w:pPr>
        <w:spacing w:line="276" w:lineRule="auto"/>
        <w:jc w:val="both"/>
        <w:rPr>
          <w:rFonts w:ascii="Arial" w:hAnsi="Arial" w:cs="Arial"/>
          <w:lang w:val="es-AR"/>
        </w:rPr>
      </w:pPr>
      <w:r w:rsidRPr="009613CE">
        <w:rPr>
          <w:rFonts w:ascii="Arial" w:hAnsi="Arial" w:cs="Arial"/>
          <w:lang w:val="es-AR"/>
        </w:rPr>
        <w:t>L</w:t>
      </w:r>
      <w:r w:rsidR="00A16348" w:rsidRPr="009613CE">
        <w:rPr>
          <w:rFonts w:ascii="Arial" w:hAnsi="Arial" w:cs="Arial"/>
          <w:lang w:val="es-AR"/>
        </w:rPr>
        <w:t>a BfR, la EPA y la FAO</w:t>
      </w:r>
      <w:r w:rsidR="006914A4" w:rsidRPr="009613CE">
        <w:rPr>
          <w:rFonts w:ascii="Arial" w:hAnsi="Arial" w:cs="Arial"/>
          <w:lang w:val="es-AR"/>
        </w:rPr>
        <w:t xml:space="preserve">/OMS </w:t>
      </w:r>
      <w:r w:rsidR="00A16348" w:rsidRPr="009613CE">
        <w:rPr>
          <w:rFonts w:ascii="Arial" w:hAnsi="Arial" w:cs="Arial"/>
          <w:lang w:val="es-AR"/>
        </w:rPr>
        <w:t xml:space="preserve">evaluaron </w:t>
      </w:r>
      <w:r w:rsidR="00506052" w:rsidRPr="009613CE">
        <w:rPr>
          <w:rFonts w:ascii="Arial" w:hAnsi="Arial" w:cs="Arial"/>
          <w:lang w:val="es-AR"/>
        </w:rPr>
        <w:t>exhaustivamente</w:t>
      </w:r>
      <w:r w:rsidR="00AA29A8" w:rsidRPr="009613CE">
        <w:rPr>
          <w:rFonts w:ascii="Arial" w:hAnsi="Arial" w:cs="Arial"/>
          <w:lang w:val="es-AR"/>
        </w:rPr>
        <w:t>,</w:t>
      </w:r>
      <w:r w:rsidR="00506052" w:rsidRPr="009613CE">
        <w:rPr>
          <w:rFonts w:ascii="Arial" w:hAnsi="Arial" w:cs="Arial"/>
          <w:lang w:val="es-AR"/>
        </w:rPr>
        <w:t xml:space="preserve"> y durante años</w:t>
      </w:r>
      <w:r w:rsidR="00AA29A8" w:rsidRPr="009613CE">
        <w:rPr>
          <w:rFonts w:ascii="Arial" w:hAnsi="Arial" w:cs="Arial"/>
          <w:lang w:val="es-AR"/>
        </w:rPr>
        <w:t>,</w:t>
      </w:r>
      <w:r w:rsidR="00506052" w:rsidRPr="009613CE">
        <w:rPr>
          <w:rFonts w:ascii="Arial" w:hAnsi="Arial" w:cs="Arial"/>
          <w:lang w:val="es-AR"/>
        </w:rPr>
        <w:t xml:space="preserve"> </w:t>
      </w:r>
      <w:r w:rsidR="00A16348" w:rsidRPr="009613CE">
        <w:rPr>
          <w:rFonts w:ascii="Arial" w:hAnsi="Arial" w:cs="Arial"/>
          <w:lang w:val="es-AR"/>
        </w:rPr>
        <w:t xml:space="preserve">paquetes completos de </w:t>
      </w:r>
      <w:r w:rsidR="00506052" w:rsidRPr="009613CE">
        <w:rPr>
          <w:rFonts w:ascii="Arial" w:hAnsi="Arial" w:cs="Arial"/>
          <w:lang w:val="es-AR"/>
        </w:rPr>
        <w:t xml:space="preserve">datos generados de acuerdo a estrictos estándares regulatorios, </w:t>
      </w:r>
      <w:r w:rsidR="00A16348" w:rsidRPr="009613CE">
        <w:rPr>
          <w:rFonts w:ascii="Arial" w:hAnsi="Arial" w:cs="Arial"/>
          <w:lang w:val="es-AR"/>
        </w:rPr>
        <w:t>mientras que la IARC analizó sólo algunos estudios publicados</w:t>
      </w:r>
      <w:r w:rsidR="00506052" w:rsidRPr="009613CE">
        <w:rPr>
          <w:rFonts w:ascii="Arial" w:hAnsi="Arial" w:cs="Arial"/>
          <w:lang w:val="es-AR"/>
        </w:rPr>
        <w:t xml:space="preserve"> a lo largo de </w:t>
      </w:r>
      <w:r w:rsidR="00506052" w:rsidRPr="009613CE">
        <w:rPr>
          <w:rFonts w:ascii="Arial" w:hAnsi="Arial" w:cs="Arial"/>
          <w:b/>
          <w:lang w:val="es-AR"/>
        </w:rPr>
        <w:t>una semana de encuentros</w:t>
      </w:r>
      <w:r w:rsidR="00506052" w:rsidRPr="009613CE">
        <w:rPr>
          <w:rFonts w:ascii="Arial" w:hAnsi="Arial" w:cs="Arial"/>
          <w:lang w:val="es-AR"/>
        </w:rPr>
        <w:t>. Es importante tener en cuenta que los estudios regulatorios están s</w:t>
      </w:r>
      <w:r w:rsidR="00AA29A8" w:rsidRPr="009613CE">
        <w:rPr>
          <w:rFonts w:ascii="Arial" w:hAnsi="Arial" w:cs="Arial"/>
          <w:lang w:val="es-AR"/>
        </w:rPr>
        <w:t>ujetos a parámetros como</w:t>
      </w:r>
      <w:r w:rsidR="00506052" w:rsidRPr="009613CE">
        <w:rPr>
          <w:rFonts w:ascii="Arial" w:hAnsi="Arial" w:cs="Arial"/>
          <w:lang w:val="es-AR"/>
        </w:rPr>
        <w:t xml:space="preserve"> la </w:t>
      </w:r>
      <w:r w:rsidR="00A16348" w:rsidRPr="009613CE">
        <w:rPr>
          <w:rFonts w:ascii="Arial" w:hAnsi="Arial" w:cs="Arial"/>
          <w:lang w:val="es-AR"/>
        </w:rPr>
        <w:t>calidad de los estudios</w:t>
      </w:r>
      <w:r w:rsidR="00AA29A8" w:rsidRPr="009613CE">
        <w:rPr>
          <w:rFonts w:ascii="Arial" w:hAnsi="Arial" w:cs="Arial"/>
          <w:lang w:val="es-AR"/>
        </w:rPr>
        <w:t xml:space="preserve"> y</w:t>
      </w:r>
      <w:r w:rsidR="00A16348" w:rsidRPr="009613CE">
        <w:rPr>
          <w:rFonts w:ascii="Arial" w:hAnsi="Arial" w:cs="Arial"/>
          <w:lang w:val="es-AR"/>
        </w:rPr>
        <w:t xml:space="preserve"> la valid</w:t>
      </w:r>
      <w:r w:rsidR="00506052" w:rsidRPr="009613CE">
        <w:rPr>
          <w:rFonts w:ascii="Arial" w:hAnsi="Arial" w:cs="Arial"/>
          <w:lang w:val="es-AR"/>
        </w:rPr>
        <w:t xml:space="preserve">ación </w:t>
      </w:r>
      <w:r w:rsidR="00A16348" w:rsidRPr="009613CE">
        <w:rPr>
          <w:rFonts w:ascii="Arial" w:hAnsi="Arial" w:cs="Arial"/>
          <w:lang w:val="es-AR"/>
        </w:rPr>
        <w:t xml:space="preserve">de las </w:t>
      </w:r>
      <w:r w:rsidR="001E0A2C" w:rsidRPr="009613CE">
        <w:rPr>
          <w:rFonts w:ascii="Arial" w:hAnsi="Arial" w:cs="Arial"/>
          <w:lang w:val="es-AR"/>
        </w:rPr>
        <w:t>metodologías</w:t>
      </w:r>
      <w:r w:rsidR="00A16348" w:rsidRPr="009613CE">
        <w:rPr>
          <w:rFonts w:ascii="Arial" w:hAnsi="Arial" w:cs="Arial"/>
          <w:lang w:val="es-AR"/>
        </w:rPr>
        <w:t xml:space="preserve"> </w:t>
      </w:r>
      <w:r w:rsidR="00506052" w:rsidRPr="009613CE">
        <w:rPr>
          <w:rFonts w:ascii="Arial" w:hAnsi="Arial" w:cs="Arial"/>
          <w:lang w:val="es-AR"/>
        </w:rPr>
        <w:t>utilizadas</w:t>
      </w:r>
      <w:r w:rsidR="00AA29A8" w:rsidRPr="009613CE">
        <w:rPr>
          <w:rFonts w:ascii="Arial" w:hAnsi="Arial" w:cs="Arial"/>
          <w:lang w:val="es-AR"/>
        </w:rPr>
        <w:t>,</w:t>
      </w:r>
      <w:r w:rsidR="00506052" w:rsidRPr="009613CE">
        <w:rPr>
          <w:rFonts w:ascii="Arial" w:hAnsi="Arial" w:cs="Arial"/>
          <w:lang w:val="es-AR"/>
        </w:rPr>
        <w:t xml:space="preserve"> </w:t>
      </w:r>
      <w:r w:rsidR="00A16348" w:rsidRPr="009613CE">
        <w:rPr>
          <w:rFonts w:ascii="Arial" w:hAnsi="Arial" w:cs="Arial"/>
          <w:lang w:val="es-AR"/>
        </w:rPr>
        <w:t xml:space="preserve">y </w:t>
      </w:r>
      <w:r w:rsidR="00506052" w:rsidRPr="009613CE">
        <w:rPr>
          <w:rFonts w:ascii="Arial" w:hAnsi="Arial" w:cs="Arial"/>
          <w:lang w:val="es-AR"/>
        </w:rPr>
        <w:t xml:space="preserve">que es fundamental considerar </w:t>
      </w:r>
      <w:r w:rsidR="00A16348" w:rsidRPr="009613CE">
        <w:rPr>
          <w:rFonts w:ascii="Arial" w:hAnsi="Arial" w:cs="Arial"/>
          <w:lang w:val="es-AR"/>
        </w:rPr>
        <w:t>otros factores como las variables ambientales, culturales, físicas, biológicas, genéticas, entre otras</w:t>
      </w:r>
      <w:r w:rsidR="00506052" w:rsidRPr="009613CE">
        <w:rPr>
          <w:rFonts w:ascii="Arial" w:hAnsi="Arial" w:cs="Arial"/>
          <w:lang w:val="es-AR"/>
        </w:rPr>
        <w:t>, para evaluar el riesgo de un agente</w:t>
      </w:r>
      <w:r w:rsidR="00A16348" w:rsidRPr="009613CE">
        <w:rPr>
          <w:rFonts w:ascii="Arial" w:hAnsi="Arial" w:cs="Arial"/>
          <w:lang w:val="es-AR"/>
        </w:rPr>
        <w:t>.</w:t>
      </w:r>
    </w:p>
    <w:p w:rsidR="00F702CB" w:rsidRPr="008C0917" w:rsidRDefault="00F702CB" w:rsidP="008C0917">
      <w:pPr>
        <w:spacing w:line="276" w:lineRule="auto"/>
        <w:jc w:val="both"/>
        <w:rPr>
          <w:rFonts w:ascii="Arial" w:hAnsi="Arial" w:cs="Arial"/>
          <w:lang w:val="es-AR"/>
        </w:rPr>
      </w:pPr>
      <w:r w:rsidRPr="008C0917">
        <w:rPr>
          <w:rFonts w:ascii="Arial" w:hAnsi="Arial" w:cs="Arial"/>
          <w:lang w:val="es-AR"/>
        </w:rPr>
        <w:t xml:space="preserve">Otras instituciones, pertenecientes también a la Organización Mundial de la Salud (OMS), como el Grupo Básico de Evaluación, el Programa de Calidad del Agua Potable y el </w:t>
      </w:r>
      <w:r w:rsidR="007944E9" w:rsidRPr="008C0917">
        <w:rPr>
          <w:rFonts w:ascii="Arial" w:hAnsi="Arial" w:cs="Arial"/>
          <w:lang w:val="es-AR"/>
        </w:rPr>
        <w:t>Programa Internacional de Seguridad de las Sustancias Químicas</w:t>
      </w:r>
      <w:r w:rsidR="00A97422" w:rsidRPr="008C0917">
        <w:rPr>
          <w:rFonts w:ascii="Arial" w:hAnsi="Arial" w:cs="Arial"/>
          <w:lang w:val="es-AR"/>
        </w:rPr>
        <w:t xml:space="preserve"> (IPCS</w:t>
      </w:r>
      <w:r w:rsidR="00A97422" w:rsidRPr="009613CE">
        <w:rPr>
          <w:rFonts w:ascii="Arial" w:hAnsi="Arial" w:cs="Arial"/>
          <w:lang w:val="es-AR"/>
        </w:rPr>
        <w:t>)</w:t>
      </w:r>
      <w:r w:rsidRPr="009613CE">
        <w:rPr>
          <w:rFonts w:ascii="Arial" w:hAnsi="Arial" w:cs="Arial"/>
          <w:lang w:val="es-AR"/>
        </w:rPr>
        <w:t xml:space="preserve">, </w:t>
      </w:r>
      <w:r w:rsidR="00506052" w:rsidRPr="009613CE">
        <w:rPr>
          <w:rFonts w:ascii="Arial" w:hAnsi="Arial" w:cs="Arial"/>
          <w:lang w:val="es-AR"/>
        </w:rPr>
        <w:t>también</w:t>
      </w:r>
      <w:r w:rsidR="00506052">
        <w:rPr>
          <w:rFonts w:ascii="Arial" w:hAnsi="Arial" w:cs="Arial"/>
          <w:lang w:val="es-AR"/>
        </w:rPr>
        <w:t xml:space="preserve"> </w:t>
      </w:r>
      <w:r w:rsidRPr="008C0917">
        <w:rPr>
          <w:rFonts w:ascii="Arial" w:hAnsi="Arial" w:cs="Arial"/>
          <w:lang w:val="es-AR"/>
        </w:rPr>
        <w:t xml:space="preserve"> han concluido que glifosato no es un carcinógeno potencial.</w:t>
      </w:r>
      <w:r w:rsidR="00145D45">
        <w:rPr>
          <w:rFonts w:ascii="Arial" w:hAnsi="Arial" w:cs="Arial"/>
          <w:lang w:val="es-AR"/>
        </w:rPr>
        <w:t xml:space="preserve"> </w:t>
      </w:r>
      <w:r w:rsidR="00145D45" w:rsidRPr="00145D45">
        <w:rPr>
          <w:rFonts w:ascii="Arial" w:hAnsi="Arial" w:cs="Arial"/>
          <w:b/>
          <w:vertAlign w:val="superscript"/>
          <w:lang w:val="es-AR"/>
        </w:rPr>
        <w:t>8</w:t>
      </w:r>
    </w:p>
    <w:p w:rsidR="00C17DED" w:rsidRPr="008C0917" w:rsidRDefault="00581F9D" w:rsidP="008C0917">
      <w:pPr>
        <w:spacing w:line="276" w:lineRule="auto"/>
        <w:jc w:val="both"/>
        <w:rPr>
          <w:rFonts w:ascii="Arial" w:hAnsi="Arial" w:cs="Arial"/>
          <w:lang w:val="es-AR"/>
        </w:rPr>
      </w:pPr>
      <w:r w:rsidRPr="008C0917">
        <w:rPr>
          <w:rFonts w:ascii="Arial" w:hAnsi="Arial" w:cs="Arial"/>
          <w:lang w:val="es-AR"/>
        </w:rPr>
        <w:lastRenderedPageBreak/>
        <w:t>Los productos fitosanitarios clasificados</w:t>
      </w:r>
      <w:r w:rsidR="00A16348" w:rsidRPr="008C0917">
        <w:rPr>
          <w:rFonts w:ascii="Arial" w:hAnsi="Arial" w:cs="Arial"/>
          <w:lang w:val="es-AR"/>
        </w:rPr>
        <w:t xml:space="preserve"> por la IARC</w:t>
      </w:r>
      <w:r w:rsidRPr="008C0917">
        <w:rPr>
          <w:rFonts w:ascii="Arial" w:hAnsi="Arial" w:cs="Arial"/>
          <w:lang w:val="es-AR"/>
        </w:rPr>
        <w:t xml:space="preserve"> comparten el mismo status que </w:t>
      </w:r>
      <w:r w:rsidR="00C17DED" w:rsidRPr="008C0917">
        <w:rPr>
          <w:rFonts w:ascii="Arial" w:hAnsi="Arial" w:cs="Arial"/>
          <w:lang w:val="es-AR"/>
        </w:rPr>
        <w:t>otros pr</w:t>
      </w:r>
      <w:r w:rsidR="00514CCB" w:rsidRPr="008C0917">
        <w:rPr>
          <w:rFonts w:ascii="Arial" w:hAnsi="Arial" w:cs="Arial"/>
          <w:lang w:val="es-AR"/>
        </w:rPr>
        <w:t xml:space="preserve">oductos y actividades laborales </w:t>
      </w:r>
      <w:r w:rsidRPr="008C0917">
        <w:rPr>
          <w:rFonts w:ascii="Arial" w:hAnsi="Arial" w:cs="Arial"/>
          <w:lang w:val="es-AR"/>
        </w:rPr>
        <w:t xml:space="preserve">tales </w:t>
      </w:r>
      <w:r w:rsidR="00514CCB" w:rsidRPr="008C0917">
        <w:rPr>
          <w:rFonts w:ascii="Arial" w:hAnsi="Arial" w:cs="Arial"/>
          <w:lang w:val="es-AR"/>
        </w:rPr>
        <w:t xml:space="preserve">como </w:t>
      </w:r>
      <w:r w:rsidRPr="008C0917">
        <w:rPr>
          <w:rFonts w:ascii="Arial" w:hAnsi="Arial" w:cs="Arial"/>
          <w:lang w:val="es-AR"/>
        </w:rPr>
        <w:t xml:space="preserve">trabajar en una </w:t>
      </w:r>
      <w:r w:rsidR="00A16348" w:rsidRPr="008C0917">
        <w:rPr>
          <w:rFonts w:ascii="Arial" w:hAnsi="Arial" w:cs="Arial"/>
          <w:lang w:val="es-AR"/>
        </w:rPr>
        <w:t>peluquería</w:t>
      </w:r>
      <w:r w:rsidR="00514CCB" w:rsidRPr="008C0917">
        <w:rPr>
          <w:rFonts w:ascii="Arial" w:hAnsi="Arial" w:cs="Arial"/>
          <w:lang w:val="es-AR"/>
        </w:rPr>
        <w:t>, las emisiones de una chimenea hogareña</w:t>
      </w:r>
      <w:r w:rsidRPr="008C0917">
        <w:rPr>
          <w:rFonts w:ascii="Arial" w:hAnsi="Arial" w:cs="Arial"/>
          <w:lang w:val="es-AR"/>
        </w:rPr>
        <w:t xml:space="preserve">, </w:t>
      </w:r>
      <w:r w:rsidR="00514CCB" w:rsidRPr="008C0917">
        <w:rPr>
          <w:rFonts w:ascii="Arial" w:hAnsi="Arial" w:cs="Arial"/>
          <w:lang w:val="es-AR"/>
        </w:rPr>
        <w:t xml:space="preserve">el mate caliente, el café, los teléfonos celulares, el </w:t>
      </w:r>
      <w:r w:rsidR="00506052" w:rsidRPr="009613CE">
        <w:rPr>
          <w:rFonts w:ascii="Arial" w:hAnsi="Arial" w:cs="Arial"/>
          <w:lang w:val="es-AR"/>
        </w:rPr>
        <w:t>e</w:t>
      </w:r>
      <w:r w:rsidR="00823528" w:rsidRPr="009613CE">
        <w:rPr>
          <w:rFonts w:ascii="Arial" w:hAnsi="Arial" w:cs="Arial"/>
          <w:lang w:val="es-AR"/>
        </w:rPr>
        <w:t>xtracto</w:t>
      </w:r>
      <w:r w:rsidR="00823528" w:rsidRPr="008C0917">
        <w:rPr>
          <w:rFonts w:ascii="Arial" w:hAnsi="Arial" w:cs="Arial"/>
          <w:lang w:val="es-AR"/>
        </w:rPr>
        <w:t xml:space="preserve"> de </w:t>
      </w:r>
      <w:r w:rsidR="00E412F2" w:rsidRPr="008C0917">
        <w:rPr>
          <w:rFonts w:ascii="Arial" w:hAnsi="Arial" w:cs="Arial"/>
          <w:lang w:val="es-AR"/>
        </w:rPr>
        <w:t>Aloe V</w:t>
      </w:r>
      <w:r w:rsidR="00514CCB" w:rsidRPr="008C0917">
        <w:rPr>
          <w:rFonts w:ascii="Arial" w:hAnsi="Arial" w:cs="Arial"/>
          <w:lang w:val="es-AR"/>
        </w:rPr>
        <w:t xml:space="preserve">era y hasta los </w:t>
      </w:r>
      <w:proofErr w:type="spellStart"/>
      <w:r w:rsidR="00514CCB" w:rsidRPr="008C0917">
        <w:rPr>
          <w:rFonts w:ascii="Arial" w:hAnsi="Arial" w:cs="Arial"/>
          <w:lang w:val="es-AR"/>
        </w:rPr>
        <w:t>pickles</w:t>
      </w:r>
      <w:proofErr w:type="spellEnd"/>
      <w:r w:rsidR="00514CCB" w:rsidRPr="008C0917">
        <w:rPr>
          <w:rFonts w:ascii="Arial" w:hAnsi="Arial" w:cs="Arial"/>
          <w:lang w:val="es-AR"/>
        </w:rPr>
        <w:t>, mientras que en la categoría 1 se incluye al tabaco, la radiación solar, los rayos x, las be</w:t>
      </w:r>
      <w:r w:rsidR="005D727B" w:rsidRPr="008C0917">
        <w:rPr>
          <w:rFonts w:ascii="Arial" w:hAnsi="Arial" w:cs="Arial"/>
          <w:lang w:val="es-AR"/>
        </w:rPr>
        <w:t>bidas alcohólicas, el arsénico; categoría en la cual NO se incluye al Gli</w:t>
      </w:r>
      <w:r w:rsidR="00A97422" w:rsidRPr="008C0917">
        <w:rPr>
          <w:rFonts w:ascii="Arial" w:hAnsi="Arial" w:cs="Arial"/>
          <w:lang w:val="es-AR"/>
        </w:rPr>
        <w:t xml:space="preserve">fosato </w:t>
      </w:r>
      <w:r w:rsidR="009613CE">
        <w:rPr>
          <w:rFonts w:ascii="Arial" w:hAnsi="Arial" w:cs="Arial"/>
          <w:lang w:val="es-AR"/>
        </w:rPr>
        <w:t>y/</w:t>
      </w:r>
      <w:r w:rsidR="00A97422" w:rsidRPr="008C0917">
        <w:rPr>
          <w:rFonts w:ascii="Arial" w:hAnsi="Arial" w:cs="Arial"/>
          <w:lang w:val="es-AR"/>
        </w:rPr>
        <w:t xml:space="preserve">o los otros productos mencionados </w:t>
      </w:r>
      <w:r w:rsidR="00302BE4" w:rsidRPr="008C0917">
        <w:rPr>
          <w:rFonts w:ascii="Arial" w:hAnsi="Arial" w:cs="Arial"/>
          <w:lang w:val="es-AR"/>
        </w:rPr>
        <w:t>(ver cuadro)</w:t>
      </w:r>
      <w:r w:rsidR="00514CCB" w:rsidRPr="008C0917">
        <w:rPr>
          <w:rFonts w:ascii="Arial" w:hAnsi="Arial" w:cs="Arial"/>
          <w:lang w:val="es-AR"/>
        </w:rPr>
        <w:t>.</w:t>
      </w:r>
    </w:p>
    <w:p w:rsidR="00A97422" w:rsidRPr="008C0917" w:rsidRDefault="00A97422" w:rsidP="008C0917">
      <w:pPr>
        <w:spacing w:line="276" w:lineRule="auto"/>
        <w:jc w:val="both"/>
        <w:rPr>
          <w:rFonts w:ascii="Arial" w:hAnsi="Arial" w:cs="Arial"/>
          <w:sz w:val="22"/>
          <w:szCs w:val="22"/>
          <w:lang w:val="es-AR"/>
        </w:rPr>
      </w:pPr>
      <w:r w:rsidRPr="008C0917">
        <w:rPr>
          <w:rFonts w:ascii="Arial" w:hAnsi="Arial" w:cs="Arial"/>
          <w:sz w:val="22"/>
          <w:szCs w:val="22"/>
          <w:lang w:val="es-AR"/>
        </w:rPr>
        <w:t>Cuadro: Categorías de la IARC</w:t>
      </w:r>
      <w:r w:rsidR="008C0917" w:rsidRPr="008C0917">
        <w:rPr>
          <w:rFonts w:ascii="Arial" w:hAnsi="Arial" w:cs="Arial"/>
          <w:sz w:val="22"/>
          <w:szCs w:val="22"/>
          <w:lang w:val="es-AR"/>
        </w:rPr>
        <w:t xml:space="preserve"> y algunos productos y/o profesiones incluidas en ellos.</w:t>
      </w:r>
    </w:p>
    <w:tbl>
      <w:tblPr>
        <w:tblW w:w="8756" w:type="dxa"/>
        <w:jc w:val="center"/>
        <w:tblInd w:w="55" w:type="dxa"/>
        <w:tblCellMar>
          <w:left w:w="70" w:type="dxa"/>
          <w:right w:w="70" w:type="dxa"/>
        </w:tblCellMar>
        <w:tblLook w:val="04A0" w:firstRow="1" w:lastRow="0" w:firstColumn="1" w:lastColumn="0" w:noHBand="0" w:noVBand="1"/>
      </w:tblPr>
      <w:tblGrid>
        <w:gridCol w:w="363"/>
        <w:gridCol w:w="2070"/>
        <w:gridCol w:w="1446"/>
        <w:gridCol w:w="4877"/>
      </w:tblGrid>
      <w:tr w:rsidR="00F115A6" w:rsidRPr="00E412F2" w:rsidTr="00A344ED">
        <w:trPr>
          <w:trHeight w:val="720"/>
          <w:jc w:val="center"/>
        </w:trPr>
        <w:tc>
          <w:tcPr>
            <w:tcW w:w="2433" w:type="dxa"/>
            <w:gridSpan w:val="2"/>
            <w:tcBorders>
              <w:top w:val="nil"/>
              <w:left w:val="nil"/>
              <w:bottom w:val="single" w:sz="12" w:space="0" w:color="FFFFFF"/>
              <w:right w:val="single" w:sz="4" w:space="0" w:color="FFFFFF"/>
            </w:tcBorders>
            <w:shd w:val="clear" w:color="4F81BD" w:fill="4F81BD"/>
            <w:vAlign w:val="center"/>
            <w:hideMark/>
          </w:tcPr>
          <w:p w:rsidR="00F115A6" w:rsidRPr="00E412F2" w:rsidRDefault="00F115A6" w:rsidP="00F115A6">
            <w:pPr>
              <w:spacing w:after="0"/>
              <w:jc w:val="center"/>
              <w:rPr>
                <w:rFonts w:ascii="Calibri" w:eastAsia="Times New Roman" w:hAnsi="Calibri"/>
                <w:b/>
                <w:bCs/>
                <w:color w:val="FFFFFF"/>
                <w:sz w:val="22"/>
                <w:szCs w:val="22"/>
                <w:lang w:val="es-AR" w:eastAsia="es-AR"/>
              </w:rPr>
            </w:pPr>
            <w:r w:rsidRPr="00E412F2">
              <w:rPr>
                <w:rFonts w:ascii="Calibri" w:eastAsia="Times New Roman" w:hAnsi="Calibri"/>
                <w:b/>
                <w:bCs/>
                <w:color w:val="FFFFFF"/>
                <w:sz w:val="22"/>
                <w:szCs w:val="22"/>
                <w:lang w:val="es-AR" w:eastAsia="es-AR"/>
              </w:rPr>
              <w:t xml:space="preserve">CATEGORÍA IARC </w:t>
            </w:r>
            <w:r w:rsidRPr="00E412F2">
              <w:rPr>
                <w:rFonts w:ascii="Calibri" w:eastAsia="Times New Roman" w:hAnsi="Calibri"/>
                <w:b/>
                <w:bCs/>
                <w:color w:val="FFFFFF"/>
                <w:sz w:val="22"/>
                <w:szCs w:val="22"/>
                <w:lang w:val="es-AR" w:eastAsia="es-AR"/>
              </w:rPr>
              <w:br/>
              <w:t>(para los seres humanos)</w:t>
            </w:r>
          </w:p>
        </w:tc>
        <w:tc>
          <w:tcPr>
            <w:tcW w:w="1446" w:type="dxa"/>
            <w:tcBorders>
              <w:top w:val="nil"/>
              <w:left w:val="single" w:sz="4" w:space="0" w:color="FFFFFF"/>
              <w:bottom w:val="single" w:sz="12" w:space="0" w:color="FFFFFF"/>
              <w:right w:val="single" w:sz="4" w:space="0" w:color="FFFFFF"/>
            </w:tcBorders>
            <w:shd w:val="clear" w:color="4F81BD" w:fill="4F81BD"/>
            <w:vAlign w:val="center"/>
            <w:hideMark/>
          </w:tcPr>
          <w:p w:rsidR="00F115A6" w:rsidRPr="00E412F2" w:rsidRDefault="00F115A6" w:rsidP="00E412F2">
            <w:pPr>
              <w:spacing w:after="0"/>
              <w:jc w:val="center"/>
              <w:rPr>
                <w:rFonts w:ascii="Calibri" w:eastAsia="Times New Roman" w:hAnsi="Calibri"/>
                <w:b/>
                <w:bCs/>
                <w:color w:val="FFFFFF"/>
                <w:sz w:val="22"/>
                <w:szCs w:val="22"/>
                <w:lang w:val="es-AR" w:eastAsia="es-AR"/>
              </w:rPr>
            </w:pPr>
            <w:r w:rsidRPr="00E412F2">
              <w:rPr>
                <w:rFonts w:ascii="Calibri" w:eastAsia="Times New Roman" w:hAnsi="Calibri"/>
                <w:b/>
                <w:bCs/>
                <w:color w:val="FFFFFF"/>
                <w:sz w:val="22"/>
                <w:szCs w:val="22"/>
                <w:lang w:val="es-AR" w:eastAsia="es-AR"/>
              </w:rPr>
              <w:t>CANTIDAD DE PRODUCTOS</w:t>
            </w:r>
          </w:p>
        </w:tc>
        <w:tc>
          <w:tcPr>
            <w:tcW w:w="4877" w:type="dxa"/>
            <w:tcBorders>
              <w:top w:val="nil"/>
              <w:left w:val="single" w:sz="4" w:space="0" w:color="FFFFFF"/>
              <w:bottom w:val="single" w:sz="12" w:space="0" w:color="FFFFFF"/>
              <w:right w:val="nil"/>
            </w:tcBorders>
            <w:shd w:val="clear" w:color="4F81BD" w:fill="4F81BD"/>
            <w:vAlign w:val="center"/>
            <w:hideMark/>
          </w:tcPr>
          <w:p w:rsidR="00F115A6" w:rsidRPr="00E412F2" w:rsidRDefault="00F115A6" w:rsidP="00E412F2">
            <w:pPr>
              <w:spacing w:after="0"/>
              <w:jc w:val="center"/>
              <w:rPr>
                <w:rFonts w:ascii="Calibri" w:eastAsia="Times New Roman" w:hAnsi="Calibri"/>
                <w:b/>
                <w:bCs/>
                <w:color w:val="FFFFFF"/>
                <w:sz w:val="22"/>
                <w:szCs w:val="22"/>
                <w:lang w:val="es-AR" w:eastAsia="es-AR"/>
              </w:rPr>
            </w:pPr>
            <w:r w:rsidRPr="00E412F2">
              <w:rPr>
                <w:rFonts w:ascii="Calibri" w:eastAsia="Times New Roman" w:hAnsi="Calibri"/>
                <w:b/>
                <w:bCs/>
                <w:color w:val="FFFFFF"/>
                <w:sz w:val="22"/>
                <w:szCs w:val="22"/>
                <w:lang w:val="es-AR" w:eastAsia="es-AR"/>
              </w:rPr>
              <w:t>ALGUNOS AGENTES</w:t>
            </w:r>
          </w:p>
        </w:tc>
      </w:tr>
      <w:tr w:rsidR="00F115A6" w:rsidRPr="00433F51" w:rsidTr="00A344ED">
        <w:trPr>
          <w:trHeight w:val="810"/>
          <w:jc w:val="center"/>
        </w:trPr>
        <w:tc>
          <w:tcPr>
            <w:tcW w:w="363" w:type="dxa"/>
            <w:tcBorders>
              <w:top w:val="single" w:sz="4" w:space="0" w:color="FFFFFF"/>
              <w:left w:val="nil"/>
              <w:bottom w:val="single" w:sz="4" w:space="0" w:color="FFFFFF"/>
              <w:right w:val="single" w:sz="4" w:space="0" w:color="FFFFFF"/>
            </w:tcBorders>
            <w:shd w:val="clear" w:color="B8CCE4" w:fill="B8CCE4"/>
            <w:vAlign w:val="center"/>
            <w:hideMark/>
          </w:tcPr>
          <w:p w:rsidR="00F115A6" w:rsidRPr="00E412F2" w:rsidRDefault="00F115A6" w:rsidP="00F115A6">
            <w:pPr>
              <w:spacing w:after="0"/>
              <w:rPr>
                <w:rFonts w:ascii="Calibri" w:eastAsia="Times New Roman" w:hAnsi="Calibri"/>
                <w:color w:val="000000"/>
                <w:sz w:val="22"/>
                <w:szCs w:val="22"/>
                <w:lang w:val="es-AR" w:eastAsia="es-AR"/>
              </w:rPr>
            </w:pPr>
            <w:r w:rsidRPr="00E412F2">
              <w:rPr>
                <w:rFonts w:ascii="Calibri" w:eastAsia="Times New Roman" w:hAnsi="Calibri"/>
                <w:b/>
                <w:bCs/>
                <w:color w:val="000000"/>
                <w:sz w:val="22"/>
                <w:szCs w:val="22"/>
                <w:lang w:val="es-AR" w:eastAsia="es-AR"/>
              </w:rPr>
              <w:t>1</w:t>
            </w:r>
          </w:p>
        </w:tc>
        <w:tc>
          <w:tcPr>
            <w:tcW w:w="2070" w:type="dxa"/>
            <w:tcBorders>
              <w:top w:val="single" w:sz="4" w:space="0" w:color="FFFFFF"/>
              <w:left w:val="single" w:sz="4" w:space="0" w:color="FFFFFF"/>
              <w:bottom w:val="single" w:sz="4" w:space="0" w:color="FFFFFF"/>
              <w:right w:val="single" w:sz="4" w:space="0" w:color="FFFFFF"/>
            </w:tcBorders>
            <w:shd w:val="clear" w:color="B8CCE4" w:fill="B8CCE4"/>
            <w:vAlign w:val="center"/>
          </w:tcPr>
          <w:p w:rsidR="00F115A6" w:rsidRPr="00E412F2" w:rsidRDefault="00F115A6" w:rsidP="001425D9">
            <w:pPr>
              <w:spacing w:after="0"/>
              <w:rPr>
                <w:rFonts w:ascii="Calibri" w:eastAsia="Times New Roman" w:hAnsi="Calibri"/>
                <w:color w:val="000000"/>
                <w:sz w:val="22"/>
                <w:szCs w:val="22"/>
                <w:lang w:val="es-AR" w:eastAsia="es-AR"/>
              </w:rPr>
            </w:pPr>
            <w:r w:rsidRPr="00E412F2">
              <w:rPr>
                <w:rFonts w:ascii="Calibri" w:eastAsia="Times New Roman" w:hAnsi="Calibri"/>
                <w:color w:val="000000"/>
                <w:sz w:val="22"/>
                <w:szCs w:val="22"/>
                <w:lang w:val="es-AR" w:eastAsia="es-AR"/>
              </w:rPr>
              <w:t>Cancerígeno para los humanos</w:t>
            </w:r>
          </w:p>
        </w:tc>
        <w:tc>
          <w:tcPr>
            <w:tcW w:w="1446"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115A6" w:rsidRPr="00E412F2" w:rsidRDefault="00F115A6" w:rsidP="00E412F2">
            <w:pPr>
              <w:spacing w:after="0"/>
              <w:jc w:val="center"/>
              <w:rPr>
                <w:rFonts w:ascii="Calibri" w:eastAsia="Times New Roman" w:hAnsi="Calibri"/>
                <w:color w:val="000000"/>
                <w:sz w:val="22"/>
                <w:szCs w:val="22"/>
                <w:lang w:val="es-AR" w:eastAsia="es-AR"/>
              </w:rPr>
            </w:pPr>
            <w:r w:rsidRPr="00E412F2">
              <w:rPr>
                <w:rFonts w:ascii="Calibri" w:eastAsia="Times New Roman" w:hAnsi="Calibri"/>
                <w:color w:val="000000"/>
                <w:sz w:val="22"/>
                <w:szCs w:val="22"/>
                <w:lang w:val="es-AR" w:eastAsia="es-AR"/>
              </w:rPr>
              <w:t>107</w:t>
            </w:r>
          </w:p>
        </w:tc>
        <w:tc>
          <w:tcPr>
            <w:tcW w:w="4877" w:type="dxa"/>
            <w:tcBorders>
              <w:top w:val="single" w:sz="4" w:space="0" w:color="FFFFFF"/>
              <w:left w:val="single" w:sz="4" w:space="0" w:color="FFFFFF"/>
              <w:bottom w:val="single" w:sz="4" w:space="0" w:color="FFFFFF"/>
              <w:right w:val="nil"/>
            </w:tcBorders>
            <w:shd w:val="clear" w:color="B8CCE4" w:fill="B8CCE4"/>
            <w:vAlign w:val="center"/>
            <w:hideMark/>
          </w:tcPr>
          <w:p w:rsidR="00F115A6" w:rsidRPr="00E412F2" w:rsidRDefault="00F115A6" w:rsidP="00E412F2">
            <w:pPr>
              <w:spacing w:after="0"/>
              <w:jc w:val="both"/>
              <w:rPr>
                <w:rFonts w:ascii="Calibri" w:eastAsia="Times New Roman" w:hAnsi="Calibri"/>
                <w:color w:val="000000"/>
                <w:sz w:val="22"/>
                <w:szCs w:val="22"/>
                <w:lang w:val="es-AR" w:eastAsia="es-AR"/>
              </w:rPr>
            </w:pPr>
            <w:r w:rsidRPr="00E412F2">
              <w:rPr>
                <w:rFonts w:ascii="Calibri" w:eastAsia="Times New Roman" w:hAnsi="Calibri"/>
                <w:b/>
                <w:bCs/>
                <w:color w:val="000000"/>
                <w:sz w:val="22"/>
                <w:szCs w:val="22"/>
                <w:lang w:val="es-AR" w:eastAsia="es-AR"/>
              </w:rPr>
              <w:t>Bebidas alcohólicas</w:t>
            </w:r>
            <w:r w:rsidRPr="00E412F2">
              <w:rPr>
                <w:rFonts w:ascii="Calibri" w:eastAsia="Times New Roman" w:hAnsi="Calibri"/>
                <w:color w:val="000000"/>
                <w:sz w:val="22"/>
                <w:szCs w:val="22"/>
                <w:lang w:val="es-AR" w:eastAsia="es-AR"/>
              </w:rPr>
              <w:t xml:space="preserve">, Amianto, Arsénico, Benceno, </w:t>
            </w:r>
            <w:r w:rsidRPr="00E412F2">
              <w:rPr>
                <w:rFonts w:ascii="Calibri" w:eastAsia="Times New Roman" w:hAnsi="Calibri"/>
                <w:b/>
                <w:bCs/>
                <w:color w:val="000000"/>
                <w:sz w:val="22"/>
                <w:szCs w:val="22"/>
                <w:lang w:val="es-AR" w:eastAsia="es-AR"/>
              </w:rPr>
              <w:t>Tabaco,</w:t>
            </w:r>
            <w:r w:rsidRPr="00E412F2">
              <w:rPr>
                <w:rFonts w:ascii="Calibri" w:eastAsia="Times New Roman" w:hAnsi="Calibri"/>
                <w:color w:val="000000"/>
                <w:sz w:val="22"/>
                <w:szCs w:val="22"/>
                <w:lang w:val="es-AR" w:eastAsia="es-AR"/>
              </w:rPr>
              <w:t xml:space="preserve"> Pintor (Ocupacional), </w:t>
            </w:r>
            <w:r w:rsidRPr="00E412F2">
              <w:rPr>
                <w:rFonts w:ascii="Calibri" w:eastAsia="Times New Roman" w:hAnsi="Calibri"/>
                <w:b/>
                <w:bCs/>
                <w:color w:val="000000"/>
                <w:sz w:val="22"/>
                <w:szCs w:val="22"/>
                <w:lang w:val="es-AR" w:eastAsia="es-AR"/>
              </w:rPr>
              <w:t>Luz solar (Rayos UV)</w:t>
            </w:r>
            <w:r w:rsidRPr="00E412F2">
              <w:rPr>
                <w:rFonts w:ascii="Calibri" w:eastAsia="Times New Roman" w:hAnsi="Calibri"/>
                <w:color w:val="000000"/>
                <w:sz w:val="22"/>
                <w:szCs w:val="22"/>
                <w:lang w:val="es-AR" w:eastAsia="es-AR"/>
              </w:rPr>
              <w:t xml:space="preserve">, </w:t>
            </w:r>
            <w:r w:rsidRPr="00E412F2">
              <w:rPr>
                <w:rFonts w:ascii="Calibri" w:eastAsia="Times New Roman" w:hAnsi="Calibri"/>
                <w:b/>
                <w:bCs/>
                <w:color w:val="000000"/>
                <w:sz w:val="22"/>
                <w:szCs w:val="22"/>
                <w:lang w:val="es-AR" w:eastAsia="es-AR"/>
              </w:rPr>
              <w:t>Rayos X</w:t>
            </w:r>
            <w:r w:rsidRPr="00E412F2">
              <w:rPr>
                <w:rFonts w:ascii="Calibri" w:eastAsia="Times New Roman" w:hAnsi="Calibri"/>
                <w:color w:val="000000"/>
                <w:sz w:val="22"/>
                <w:szCs w:val="22"/>
                <w:lang w:val="es-AR" w:eastAsia="es-AR"/>
              </w:rPr>
              <w:t xml:space="preserve">. </w:t>
            </w:r>
          </w:p>
        </w:tc>
      </w:tr>
      <w:tr w:rsidR="00F115A6" w:rsidRPr="00433F51" w:rsidTr="00A344ED">
        <w:trPr>
          <w:trHeight w:val="900"/>
          <w:jc w:val="center"/>
        </w:trPr>
        <w:tc>
          <w:tcPr>
            <w:tcW w:w="363" w:type="dxa"/>
            <w:vMerge w:val="restart"/>
            <w:tcBorders>
              <w:top w:val="single" w:sz="4" w:space="0" w:color="FFFFFF"/>
              <w:left w:val="nil"/>
              <w:right w:val="single" w:sz="4" w:space="0" w:color="FFFFFF"/>
            </w:tcBorders>
            <w:shd w:val="clear" w:color="DCE6F1" w:fill="DCE6F1"/>
            <w:vAlign w:val="center"/>
            <w:hideMark/>
          </w:tcPr>
          <w:p w:rsidR="00F115A6" w:rsidRPr="00E412F2" w:rsidRDefault="00F115A6" w:rsidP="00F115A6">
            <w:pPr>
              <w:spacing w:after="0"/>
              <w:rPr>
                <w:rFonts w:ascii="Calibri" w:eastAsia="Times New Roman" w:hAnsi="Calibri"/>
                <w:color w:val="000000"/>
                <w:sz w:val="22"/>
                <w:szCs w:val="22"/>
                <w:lang w:val="es-AR" w:eastAsia="es-AR"/>
              </w:rPr>
            </w:pPr>
            <w:r w:rsidRPr="00E412F2">
              <w:rPr>
                <w:rFonts w:ascii="Calibri" w:eastAsia="Times New Roman" w:hAnsi="Calibri"/>
                <w:b/>
                <w:bCs/>
                <w:color w:val="000000"/>
                <w:sz w:val="22"/>
                <w:szCs w:val="22"/>
                <w:lang w:val="es-AR" w:eastAsia="es-AR"/>
              </w:rPr>
              <w:t>2</w:t>
            </w:r>
          </w:p>
          <w:p w:rsidR="00F115A6" w:rsidRPr="00E412F2" w:rsidRDefault="00F115A6" w:rsidP="00E412F2">
            <w:pPr>
              <w:spacing w:after="0"/>
              <w:rPr>
                <w:rFonts w:ascii="Calibri" w:eastAsia="Times New Roman" w:hAnsi="Calibri"/>
                <w:color w:val="000000"/>
                <w:sz w:val="22"/>
                <w:szCs w:val="22"/>
                <w:lang w:val="es-AR" w:eastAsia="es-AR"/>
              </w:rPr>
            </w:pPr>
          </w:p>
        </w:tc>
        <w:tc>
          <w:tcPr>
            <w:tcW w:w="2070" w:type="dxa"/>
            <w:tcBorders>
              <w:top w:val="single" w:sz="4" w:space="0" w:color="FFFFFF"/>
              <w:left w:val="single" w:sz="4" w:space="0" w:color="FFFFFF"/>
              <w:bottom w:val="single" w:sz="4" w:space="0" w:color="FFFFFF"/>
              <w:right w:val="single" w:sz="4" w:space="0" w:color="FFFFFF"/>
            </w:tcBorders>
            <w:shd w:val="clear" w:color="DCE6F1" w:fill="DCE6F1"/>
            <w:vAlign w:val="center"/>
          </w:tcPr>
          <w:p w:rsidR="00F115A6" w:rsidRPr="00E412F2" w:rsidRDefault="00F115A6" w:rsidP="001425D9">
            <w:pPr>
              <w:spacing w:after="0"/>
              <w:rPr>
                <w:rFonts w:ascii="Calibri" w:eastAsia="Times New Roman" w:hAnsi="Calibri"/>
                <w:color w:val="000000"/>
                <w:sz w:val="22"/>
                <w:szCs w:val="22"/>
                <w:lang w:val="es-AR" w:eastAsia="es-AR"/>
              </w:rPr>
            </w:pPr>
            <w:r w:rsidRPr="00E412F2">
              <w:rPr>
                <w:rFonts w:ascii="Calibri" w:eastAsia="Times New Roman" w:hAnsi="Calibri"/>
                <w:b/>
                <w:bCs/>
                <w:color w:val="000000"/>
                <w:sz w:val="22"/>
                <w:szCs w:val="22"/>
                <w:lang w:val="es-AR" w:eastAsia="es-AR"/>
              </w:rPr>
              <w:t>2A</w:t>
            </w:r>
            <w:r w:rsidRPr="00E412F2">
              <w:rPr>
                <w:rFonts w:ascii="Calibri" w:eastAsia="Times New Roman" w:hAnsi="Calibri"/>
                <w:color w:val="000000"/>
                <w:sz w:val="22"/>
                <w:szCs w:val="22"/>
                <w:lang w:val="es-AR" w:eastAsia="es-AR"/>
              </w:rPr>
              <w:t>. Probablemente Cancerígeno</w:t>
            </w:r>
          </w:p>
        </w:tc>
        <w:tc>
          <w:tcPr>
            <w:tcW w:w="1446"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115A6" w:rsidRPr="00E412F2" w:rsidRDefault="00F115A6" w:rsidP="00E412F2">
            <w:pPr>
              <w:spacing w:after="0"/>
              <w:jc w:val="center"/>
              <w:rPr>
                <w:rFonts w:ascii="Calibri" w:eastAsia="Times New Roman" w:hAnsi="Calibri"/>
                <w:color w:val="000000"/>
                <w:sz w:val="22"/>
                <w:szCs w:val="22"/>
                <w:lang w:val="es-AR" w:eastAsia="es-AR"/>
              </w:rPr>
            </w:pPr>
            <w:r w:rsidRPr="00E412F2">
              <w:rPr>
                <w:rFonts w:ascii="Calibri" w:eastAsia="Times New Roman" w:hAnsi="Calibri"/>
                <w:color w:val="000000"/>
                <w:sz w:val="22"/>
                <w:szCs w:val="22"/>
                <w:lang w:val="es-AR" w:eastAsia="es-AR"/>
              </w:rPr>
              <w:t>58</w:t>
            </w:r>
          </w:p>
        </w:tc>
        <w:tc>
          <w:tcPr>
            <w:tcW w:w="4877" w:type="dxa"/>
            <w:tcBorders>
              <w:top w:val="single" w:sz="4" w:space="0" w:color="FFFFFF"/>
              <w:left w:val="single" w:sz="4" w:space="0" w:color="FFFFFF"/>
              <w:bottom w:val="single" w:sz="4" w:space="0" w:color="FFFFFF"/>
              <w:right w:val="nil"/>
            </w:tcBorders>
            <w:shd w:val="clear" w:color="DCE6F1" w:fill="DCE6F1"/>
            <w:vAlign w:val="center"/>
            <w:hideMark/>
          </w:tcPr>
          <w:p w:rsidR="00F115A6" w:rsidRPr="00E412F2" w:rsidRDefault="00F115A6" w:rsidP="00E412F2">
            <w:pPr>
              <w:spacing w:after="0"/>
              <w:jc w:val="both"/>
              <w:rPr>
                <w:rFonts w:ascii="Calibri" w:eastAsia="Times New Roman" w:hAnsi="Calibri"/>
                <w:color w:val="000000"/>
                <w:sz w:val="22"/>
                <w:szCs w:val="22"/>
                <w:lang w:val="es-AR" w:eastAsia="es-AR"/>
              </w:rPr>
            </w:pPr>
            <w:r w:rsidRPr="00E412F2">
              <w:rPr>
                <w:rFonts w:ascii="Calibri" w:eastAsia="Times New Roman" w:hAnsi="Calibri"/>
                <w:b/>
                <w:bCs/>
                <w:color w:val="000000"/>
                <w:sz w:val="22"/>
                <w:szCs w:val="22"/>
                <w:lang w:val="es-AR" w:eastAsia="es-AR"/>
              </w:rPr>
              <w:t>Mate Caliente</w:t>
            </w:r>
            <w:r w:rsidRPr="00E412F2">
              <w:rPr>
                <w:rFonts w:ascii="Calibri" w:eastAsia="Times New Roman" w:hAnsi="Calibri"/>
                <w:color w:val="000000"/>
                <w:sz w:val="22"/>
                <w:szCs w:val="22"/>
                <w:lang w:val="es-AR" w:eastAsia="es-AR"/>
              </w:rPr>
              <w:t xml:space="preserve">, </w:t>
            </w:r>
            <w:r w:rsidRPr="00E412F2">
              <w:rPr>
                <w:rFonts w:ascii="Calibri" w:eastAsia="Times New Roman" w:hAnsi="Calibri"/>
                <w:b/>
                <w:bCs/>
                <w:color w:val="000000"/>
                <w:sz w:val="22"/>
                <w:szCs w:val="22"/>
                <w:lang w:val="es-AR" w:eastAsia="es-AR"/>
              </w:rPr>
              <w:t>Peluquería</w:t>
            </w:r>
            <w:r w:rsidRPr="00E412F2">
              <w:rPr>
                <w:rFonts w:ascii="Calibri" w:eastAsia="Times New Roman" w:hAnsi="Calibri"/>
                <w:color w:val="000000"/>
                <w:sz w:val="22"/>
                <w:szCs w:val="22"/>
                <w:lang w:val="es-AR" w:eastAsia="es-AR"/>
              </w:rPr>
              <w:t xml:space="preserve"> (ocupacional), Gases de combustión de automotores, Emisiones de chimeneas hogareñas, Lámparas bronceadoras, </w:t>
            </w:r>
            <w:r w:rsidRPr="00E412F2">
              <w:rPr>
                <w:rFonts w:ascii="Calibri" w:eastAsia="Times New Roman" w:hAnsi="Calibri"/>
                <w:b/>
                <w:bCs/>
                <w:color w:val="000000"/>
                <w:sz w:val="22"/>
                <w:szCs w:val="22"/>
                <w:lang w:val="es-AR" w:eastAsia="es-AR"/>
              </w:rPr>
              <w:t>Glifosato</w:t>
            </w:r>
            <w:r w:rsidRPr="00E412F2">
              <w:rPr>
                <w:rFonts w:ascii="Calibri" w:eastAsia="Times New Roman" w:hAnsi="Calibri"/>
                <w:color w:val="000000"/>
                <w:sz w:val="22"/>
                <w:szCs w:val="22"/>
                <w:lang w:val="es-AR" w:eastAsia="es-AR"/>
              </w:rPr>
              <w:t>.</w:t>
            </w:r>
          </w:p>
        </w:tc>
      </w:tr>
      <w:tr w:rsidR="00F115A6" w:rsidRPr="00433F51" w:rsidTr="00A344ED">
        <w:trPr>
          <w:trHeight w:val="1200"/>
          <w:jc w:val="center"/>
        </w:trPr>
        <w:tc>
          <w:tcPr>
            <w:tcW w:w="363" w:type="dxa"/>
            <w:vMerge/>
            <w:tcBorders>
              <w:left w:val="nil"/>
              <w:bottom w:val="single" w:sz="4" w:space="0" w:color="FFFFFF"/>
              <w:right w:val="single" w:sz="4" w:space="0" w:color="FFFFFF"/>
            </w:tcBorders>
            <w:shd w:val="clear" w:color="B8CCE4" w:fill="B8CCE4"/>
            <w:vAlign w:val="center"/>
            <w:hideMark/>
          </w:tcPr>
          <w:p w:rsidR="00F115A6" w:rsidRPr="00E412F2" w:rsidRDefault="00F115A6" w:rsidP="00E412F2">
            <w:pPr>
              <w:spacing w:after="0"/>
              <w:rPr>
                <w:rFonts w:ascii="Calibri" w:eastAsia="Times New Roman" w:hAnsi="Calibri"/>
                <w:color w:val="000000"/>
                <w:sz w:val="22"/>
                <w:szCs w:val="22"/>
                <w:lang w:val="es-AR" w:eastAsia="es-AR"/>
              </w:rPr>
            </w:pPr>
          </w:p>
        </w:tc>
        <w:tc>
          <w:tcPr>
            <w:tcW w:w="2070" w:type="dxa"/>
            <w:tcBorders>
              <w:top w:val="single" w:sz="4" w:space="0" w:color="FFFFFF"/>
              <w:left w:val="single" w:sz="4" w:space="0" w:color="FFFFFF"/>
              <w:bottom w:val="single" w:sz="4" w:space="0" w:color="FFFFFF"/>
              <w:right w:val="single" w:sz="4" w:space="0" w:color="FFFFFF"/>
            </w:tcBorders>
            <w:shd w:val="clear" w:color="B8CCE4" w:fill="B8CCE4"/>
            <w:vAlign w:val="center"/>
          </w:tcPr>
          <w:p w:rsidR="00F115A6" w:rsidRPr="00E412F2" w:rsidRDefault="00F115A6" w:rsidP="001425D9">
            <w:pPr>
              <w:spacing w:after="0"/>
              <w:rPr>
                <w:rFonts w:ascii="Calibri" w:eastAsia="Times New Roman" w:hAnsi="Calibri"/>
                <w:color w:val="000000"/>
                <w:sz w:val="22"/>
                <w:szCs w:val="22"/>
                <w:lang w:val="es-AR" w:eastAsia="es-AR"/>
              </w:rPr>
            </w:pPr>
            <w:r w:rsidRPr="00E412F2">
              <w:rPr>
                <w:rFonts w:ascii="Calibri" w:eastAsia="Times New Roman" w:hAnsi="Calibri"/>
                <w:b/>
                <w:bCs/>
                <w:color w:val="000000"/>
                <w:sz w:val="22"/>
                <w:szCs w:val="22"/>
                <w:lang w:val="es-AR" w:eastAsia="es-AR"/>
              </w:rPr>
              <w:t>2B</w:t>
            </w:r>
            <w:r w:rsidRPr="00E412F2">
              <w:rPr>
                <w:rFonts w:ascii="Calibri" w:eastAsia="Times New Roman" w:hAnsi="Calibri"/>
                <w:color w:val="000000"/>
                <w:sz w:val="22"/>
                <w:szCs w:val="22"/>
                <w:lang w:val="es-AR" w:eastAsia="es-AR"/>
              </w:rPr>
              <w:t>. Posiblemente Cancerígeno</w:t>
            </w:r>
          </w:p>
        </w:tc>
        <w:tc>
          <w:tcPr>
            <w:tcW w:w="1446"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F115A6" w:rsidRPr="00E412F2" w:rsidRDefault="00F115A6" w:rsidP="00E412F2">
            <w:pPr>
              <w:spacing w:after="0"/>
              <w:jc w:val="center"/>
              <w:rPr>
                <w:rFonts w:ascii="Calibri" w:eastAsia="Times New Roman" w:hAnsi="Calibri"/>
                <w:color w:val="000000"/>
                <w:sz w:val="22"/>
                <w:szCs w:val="22"/>
                <w:lang w:val="es-AR" w:eastAsia="es-AR"/>
              </w:rPr>
            </w:pPr>
            <w:r w:rsidRPr="00E412F2">
              <w:rPr>
                <w:rFonts w:ascii="Calibri" w:eastAsia="Times New Roman" w:hAnsi="Calibri"/>
                <w:color w:val="000000"/>
                <w:sz w:val="22"/>
                <w:szCs w:val="22"/>
                <w:lang w:val="es-AR" w:eastAsia="es-AR"/>
              </w:rPr>
              <w:t>249</w:t>
            </w:r>
          </w:p>
        </w:tc>
        <w:tc>
          <w:tcPr>
            <w:tcW w:w="4877" w:type="dxa"/>
            <w:tcBorders>
              <w:top w:val="single" w:sz="4" w:space="0" w:color="FFFFFF"/>
              <w:left w:val="single" w:sz="4" w:space="0" w:color="FFFFFF"/>
              <w:bottom w:val="single" w:sz="4" w:space="0" w:color="FFFFFF"/>
              <w:right w:val="nil"/>
            </w:tcBorders>
            <w:shd w:val="clear" w:color="B8CCE4" w:fill="B8CCE4"/>
            <w:vAlign w:val="center"/>
            <w:hideMark/>
          </w:tcPr>
          <w:p w:rsidR="00F115A6" w:rsidRPr="00E412F2" w:rsidRDefault="00F115A6" w:rsidP="00E412F2">
            <w:pPr>
              <w:spacing w:after="0"/>
              <w:jc w:val="both"/>
              <w:rPr>
                <w:rFonts w:ascii="Calibri" w:eastAsia="Times New Roman" w:hAnsi="Calibri"/>
                <w:color w:val="000000"/>
                <w:sz w:val="22"/>
                <w:szCs w:val="22"/>
                <w:lang w:val="es-AR" w:eastAsia="es-AR"/>
              </w:rPr>
            </w:pPr>
            <w:r w:rsidRPr="00E412F2">
              <w:rPr>
                <w:rFonts w:ascii="Calibri" w:eastAsia="Times New Roman" w:hAnsi="Calibri"/>
                <w:b/>
                <w:bCs/>
                <w:color w:val="000000"/>
                <w:sz w:val="22"/>
                <w:szCs w:val="22"/>
                <w:lang w:val="es-AR" w:eastAsia="es-AR"/>
              </w:rPr>
              <w:t>Café</w:t>
            </w:r>
            <w:r w:rsidRPr="00E412F2">
              <w:rPr>
                <w:rFonts w:ascii="Calibri" w:eastAsia="Times New Roman" w:hAnsi="Calibri"/>
                <w:color w:val="000000"/>
                <w:sz w:val="22"/>
                <w:szCs w:val="22"/>
                <w:lang w:val="es-AR" w:eastAsia="es-AR"/>
              </w:rPr>
              <w:t xml:space="preserve">, </w:t>
            </w:r>
            <w:r w:rsidRPr="00E412F2">
              <w:rPr>
                <w:rFonts w:ascii="Calibri" w:eastAsia="Times New Roman" w:hAnsi="Calibri"/>
                <w:b/>
                <w:bCs/>
                <w:color w:val="000000"/>
                <w:sz w:val="22"/>
                <w:szCs w:val="22"/>
                <w:lang w:val="es-AR" w:eastAsia="es-AR"/>
              </w:rPr>
              <w:t>Combustible Diesel</w:t>
            </w:r>
            <w:r w:rsidRPr="00E412F2">
              <w:rPr>
                <w:rFonts w:ascii="Calibri" w:eastAsia="Times New Roman" w:hAnsi="Calibri"/>
                <w:color w:val="000000"/>
                <w:sz w:val="22"/>
                <w:szCs w:val="22"/>
                <w:lang w:val="es-AR" w:eastAsia="es-AR"/>
              </w:rPr>
              <w:t xml:space="preserve">, Limpieza en seco (ocupacional), </w:t>
            </w:r>
            <w:r w:rsidRPr="00E412F2">
              <w:rPr>
                <w:rFonts w:ascii="Calibri" w:eastAsia="Times New Roman" w:hAnsi="Calibri"/>
                <w:b/>
                <w:bCs/>
                <w:color w:val="000000"/>
                <w:sz w:val="22"/>
                <w:szCs w:val="22"/>
                <w:lang w:val="es-AR" w:eastAsia="es-AR"/>
              </w:rPr>
              <w:t>Bomberos</w:t>
            </w:r>
            <w:r w:rsidRPr="00E412F2">
              <w:rPr>
                <w:rFonts w:ascii="Calibri" w:eastAsia="Times New Roman" w:hAnsi="Calibri"/>
                <w:color w:val="000000"/>
                <w:sz w:val="22"/>
                <w:szCs w:val="22"/>
                <w:lang w:val="es-AR" w:eastAsia="es-AR"/>
              </w:rPr>
              <w:t xml:space="preserve"> (ocupacional), polvos de talcos higiénicos, </w:t>
            </w:r>
            <w:r w:rsidRPr="00E412F2">
              <w:rPr>
                <w:rFonts w:ascii="Calibri" w:eastAsia="Times New Roman" w:hAnsi="Calibri"/>
                <w:b/>
                <w:bCs/>
                <w:color w:val="000000"/>
                <w:sz w:val="22"/>
                <w:szCs w:val="22"/>
                <w:lang w:val="es-AR" w:eastAsia="es-AR"/>
              </w:rPr>
              <w:t>teléfonos celulares</w:t>
            </w:r>
            <w:r w:rsidRPr="00E412F2">
              <w:rPr>
                <w:rFonts w:ascii="Calibri" w:eastAsia="Times New Roman" w:hAnsi="Calibri"/>
                <w:color w:val="000000"/>
                <w:sz w:val="22"/>
                <w:szCs w:val="22"/>
                <w:lang w:val="es-AR" w:eastAsia="es-AR"/>
              </w:rPr>
              <w:t xml:space="preserve">, </w:t>
            </w:r>
            <w:r w:rsidRPr="00E412F2">
              <w:rPr>
                <w:rFonts w:ascii="Calibri" w:eastAsia="Times New Roman" w:hAnsi="Calibri"/>
                <w:b/>
                <w:bCs/>
                <w:color w:val="000000"/>
                <w:sz w:val="22"/>
                <w:szCs w:val="22"/>
                <w:lang w:val="es-AR" w:eastAsia="es-AR"/>
              </w:rPr>
              <w:t>Extracto</w:t>
            </w:r>
            <w:r>
              <w:rPr>
                <w:rFonts w:ascii="Calibri" w:eastAsia="Times New Roman" w:hAnsi="Calibri"/>
                <w:b/>
                <w:bCs/>
                <w:color w:val="000000"/>
                <w:sz w:val="22"/>
                <w:szCs w:val="22"/>
                <w:lang w:val="es-AR" w:eastAsia="es-AR"/>
              </w:rPr>
              <w:t>s</w:t>
            </w:r>
            <w:r w:rsidRPr="00E412F2">
              <w:rPr>
                <w:rFonts w:ascii="Calibri" w:eastAsia="Times New Roman" w:hAnsi="Calibri"/>
                <w:b/>
                <w:bCs/>
                <w:color w:val="000000"/>
                <w:sz w:val="22"/>
                <w:szCs w:val="22"/>
                <w:lang w:val="es-AR" w:eastAsia="es-AR"/>
              </w:rPr>
              <w:t xml:space="preserve"> de Aloe Vera</w:t>
            </w:r>
            <w:r w:rsidRPr="00E412F2">
              <w:rPr>
                <w:rFonts w:ascii="Calibri" w:eastAsia="Times New Roman" w:hAnsi="Calibri"/>
                <w:color w:val="000000"/>
                <w:sz w:val="22"/>
                <w:szCs w:val="22"/>
                <w:lang w:val="es-AR" w:eastAsia="es-AR"/>
              </w:rPr>
              <w:t xml:space="preserve">, </w:t>
            </w:r>
            <w:proofErr w:type="spellStart"/>
            <w:r w:rsidRPr="00E412F2">
              <w:rPr>
                <w:rFonts w:ascii="Calibri" w:eastAsia="Times New Roman" w:hAnsi="Calibri"/>
                <w:b/>
                <w:bCs/>
                <w:color w:val="000000"/>
                <w:sz w:val="22"/>
                <w:szCs w:val="22"/>
                <w:lang w:val="es-AR" w:eastAsia="es-AR"/>
              </w:rPr>
              <w:t>Pickles</w:t>
            </w:r>
            <w:proofErr w:type="spellEnd"/>
            <w:r w:rsidRPr="00E412F2">
              <w:rPr>
                <w:rFonts w:ascii="Calibri" w:eastAsia="Times New Roman" w:hAnsi="Calibri"/>
                <w:color w:val="000000"/>
                <w:sz w:val="22"/>
                <w:szCs w:val="22"/>
                <w:lang w:val="es-AR" w:eastAsia="es-AR"/>
              </w:rPr>
              <w:t>.</w:t>
            </w:r>
          </w:p>
        </w:tc>
      </w:tr>
      <w:tr w:rsidR="00F115A6" w:rsidRPr="00433F51" w:rsidTr="00A344ED">
        <w:trPr>
          <w:trHeight w:val="1005"/>
          <w:jc w:val="center"/>
        </w:trPr>
        <w:tc>
          <w:tcPr>
            <w:tcW w:w="363" w:type="dxa"/>
            <w:tcBorders>
              <w:top w:val="single" w:sz="4" w:space="0" w:color="FFFFFF"/>
              <w:left w:val="nil"/>
              <w:bottom w:val="single" w:sz="4" w:space="0" w:color="FFFFFF"/>
              <w:right w:val="single" w:sz="4" w:space="0" w:color="FFFFFF"/>
            </w:tcBorders>
            <w:shd w:val="clear" w:color="DCE6F1" w:fill="DCE6F1"/>
            <w:vAlign w:val="center"/>
            <w:hideMark/>
          </w:tcPr>
          <w:p w:rsidR="00F115A6" w:rsidRPr="00E412F2" w:rsidRDefault="00F115A6" w:rsidP="00F115A6">
            <w:pPr>
              <w:spacing w:after="0"/>
              <w:rPr>
                <w:rFonts w:ascii="Calibri" w:eastAsia="Times New Roman" w:hAnsi="Calibri"/>
                <w:color w:val="000000"/>
                <w:sz w:val="22"/>
                <w:szCs w:val="22"/>
                <w:lang w:val="es-AR" w:eastAsia="es-AR"/>
              </w:rPr>
            </w:pPr>
            <w:r w:rsidRPr="00E412F2">
              <w:rPr>
                <w:rFonts w:ascii="Calibri" w:eastAsia="Times New Roman" w:hAnsi="Calibri"/>
                <w:b/>
                <w:bCs/>
                <w:color w:val="000000"/>
                <w:sz w:val="22"/>
                <w:szCs w:val="22"/>
                <w:lang w:val="es-AR" w:eastAsia="es-AR"/>
              </w:rPr>
              <w:t>3</w:t>
            </w:r>
          </w:p>
        </w:tc>
        <w:tc>
          <w:tcPr>
            <w:tcW w:w="2070" w:type="dxa"/>
            <w:tcBorders>
              <w:top w:val="single" w:sz="4" w:space="0" w:color="FFFFFF"/>
              <w:left w:val="single" w:sz="4" w:space="0" w:color="FFFFFF"/>
              <w:bottom w:val="single" w:sz="4" w:space="0" w:color="FFFFFF"/>
              <w:right w:val="single" w:sz="4" w:space="0" w:color="FFFFFF"/>
            </w:tcBorders>
            <w:shd w:val="clear" w:color="DCE6F1" w:fill="DCE6F1"/>
            <w:vAlign w:val="center"/>
          </w:tcPr>
          <w:p w:rsidR="00F115A6" w:rsidRPr="00E412F2" w:rsidRDefault="00F115A6" w:rsidP="001425D9">
            <w:pPr>
              <w:spacing w:after="0"/>
              <w:rPr>
                <w:rFonts w:ascii="Calibri" w:eastAsia="Times New Roman" w:hAnsi="Calibri"/>
                <w:color w:val="000000"/>
                <w:sz w:val="22"/>
                <w:szCs w:val="22"/>
                <w:lang w:val="es-AR" w:eastAsia="es-AR"/>
              </w:rPr>
            </w:pPr>
            <w:r w:rsidRPr="009613CE">
              <w:rPr>
                <w:rFonts w:ascii="Calibri" w:eastAsia="Times New Roman" w:hAnsi="Calibri"/>
                <w:color w:val="000000"/>
                <w:sz w:val="22"/>
                <w:szCs w:val="22"/>
                <w:lang w:val="es-AR" w:eastAsia="es-AR"/>
              </w:rPr>
              <w:t>No clasificable</w:t>
            </w:r>
            <w:r>
              <w:rPr>
                <w:rFonts w:ascii="Calibri" w:eastAsia="Times New Roman" w:hAnsi="Calibri"/>
                <w:color w:val="000000"/>
                <w:sz w:val="22"/>
                <w:szCs w:val="22"/>
                <w:lang w:val="es-AR" w:eastAsia="es-AR"/>
              </w:rPr>
              <w:t xml:space="preserve"> como cancerígeno</w:t>
            </w:r>
          </w:p>
        </w:tc>
        <w:tc>
          <w:tcPr>
            <w:tcW w:w="1446"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F115A6" w:rsidRPr="00E412F2" w:rsidRDefault="00F115A6" w:rsidP="00E412F2">
            <w:pPr>
              <w:spacing w:after="0"/>
              <w:jc w:val="center"/>
              <w:rPr>
                <w:rFonts w:ascii="Calibri" w:eastAsia="Times New Roman" w:hAnsi="Calibri"/>
                <w:color w:val="000000"/>
                <w:sz w:val="22"/>
                <w:szCs w:val="22"/>
                <w:lang w:val="es-AR" w:eastAsia="es-AR"/>
              </w:rPr>
            </w:pPr>
            <w:r w:rsidRPr="00E412F2">
              <w:rPr>
                <w:rFonts w:ascii="Calibri" w:eastAsia="Times New Roman" w:hAnsi="Calibri"/>
                <w:color w:val="000000"/>
                <w:sz w:val="22"/>
                <w:szCs w:val="22"/>
                <w:lang w:val="es-AR" w:eastAsia="es-AR"/>
              </w:rPr>
              <w:t>512</w:t>
            </w:r>
          </w:p>
        </w:tc>
        <w:tc>
          <w:tcPr>
            <w:tcW w:w="4877" w:type="dxa"/>
            <w:tcBorders>
              <w:top w:val="single" w:sz="4" w:space="0" w:color="FFFFFF"/>
              <w:left w:val="single" w:sz="4" w:space="0" w:color="FFFFFF"/>
              <w:bottom w:val="single" w:sz="4" w:space="0" w:color="FFFFFF"/>
              <w:right w:val="nil"/>
            </w:tcBorders>
            <w:shd w:val="clear" w:color="DCE6F1" w:fill="DCE6F1"/>
            <w:vAlign w:val="center"/>
            <w:hideMark/>
          </w:tcPr>
          <w:p w:rsidR="00F115A6" w:rsidRPr="00E412F2" w:rsidRDefault="00F115A6" w:rsidP="00FB4A78">
            <w:pPr>
              <w:spacing w:after="0"/>
              <w:jc w:val="both"/>
              <w:rPr>
                <w:rFonts w:ascii="Calibri" w:eastAsia="Times New Roman" w:hAnsi="Calibri"/>
                <w:color w:val="000000"/>
                <w:sz w:val="22"/>
                <w:szCs w:val="22"/>
                <w:lang w:val="es-AR" w:eastAsia="es-AR"/>
              </w:rPr>
            </w:pPr>
            <w:r w:rsidRPr="00E412F2">
              <w:rPr>
                <w:rFonts w:ascii="Calibri" w:eastAsia="Times New Roman" w:hAnsi="Calibri"/>
                <w:b/>
                <w:bCs/>
                <w:color w:val="000000"/>
                <w:sz w:val="22"/>
                <w:szCs w:val="22"/>
                <w:lang w:val="es-AR" w:eastAsia="es-AR"/>
              </w:rPr>
              <w:t>Colesterol</w:t>
            </w:r>
            <w:r w:rsidRPr="00E412F2">
              <w:rPr>
                <w:rFonts w:ascii="Calibri" w:eastAsia="Times New Roman" w:hAnsi="Calibri"/>
                <w:color w:val="000000"/>
                <w:sz w:val="22"/>
                <w:szCs w:val="22"/>
                <w:lang w:val="es-AR" w:eastAsia="es-AR"/>
              </w:rPr>
              <w:t>, Campos eléctricos de muy baja frecuencia, Fibra de vidrio, Lana de vidrio, Cuero (ocupacional),</w:t>
            </w:r>
            <w:r>
              <w:rPr>
                <w:rFonts w:ascii="Calibri" w:eastAsia="Times New Roman" w:hAnsi="Calibri"/>
                <w:color w:val="000000"/>
                <w:sz w:val="22"/>
                <w:szCs w:val="22"/>
                <w:lang w:val="es-AR" w:eastAsia="es-AR"/>
              </w:rPr>
              <w:t xml:space="preserve"> </w:t>
            </w:r>
            <w:r w:rsidRPr="00E412F2">
              <w:rPr>
                <w:rFonts w:ascii="Calibri" w:eastAsia="Times New Roman" w:hAnsi="Calibri"/>
                <w:b/>
                <w:bCs/>
                <w:color w:val="000000"/>
                <w:sz w:val="22"/>
                <w:szCs w:val="22"/>
                <w:lang w:val="es-AR" w:eastAsia="es-AR"/>
              </w:rPr>
              <w:t>Té</w:t>
            </w:r>
            <w:r>
              <w:rPr>
                <w:rFonts w:ascii="Calibri" w:eastAsia="Times New Roman" w:hAnsi="Calibri"/>
                <w:b/>
                <w:bCs/>
                <w:color w:val="000000"/>
                <w:sz w:val="22"/>
                <w:szCs w:val="22"/>
                <w:lang w:val="es-AR" w:eastAsia="es-AR"/>
              </w:rPr>
              <w:t>,</w:t>
            </w:r>
            <w:r w:rsidRPr="00E412F2">
              <w:rPr>
                <w:rFonts w:ascii="Calibri" w:eastAsia="Times New Roman" w:hAnsi="Calibri"/>
                <w:b/>
                <w:bCs/>
                <w:color w:val="000000"/>
                <w:sz w:val="22"/>
                <w:szCs w:val="22"/>
                <w:lang w:val="es-AR" w:eastAsia="es-AR"/>
              </w:rPr>
              <w:t xml:space="preserve"> Polietileno</w:t>
            </w:r>
            <w:r>
              <w:rPr>
                <w:rFonts w:ascii="Calibri" w:eastAsia="Times New Roman" w:hAnsi="Calibri"/>
                <w:b/>
                <w:bCs/>
                <w:color w:val="000000"/>
                <w:sz w:val="22"/>
                <w:szCs w:val="22"/>
                <w:lang w:val="es-AR" w:eastAsia="es-AR"/>
              </w:rPr>
              <w:t>,</w:t>
            </w:r>
            <w:r w:rsidRPr="00E412F2">
              <w:rPr>
                <w:rFonts w:ascii="Calibri" w:eastAsia="Times New Roman" w:hAnsi="Calibri"/>
                <w:color w:val="000000"/>
                <w:sz w:val="22"/>
                <w:szCs w:val="22"/>
                <w:lang w:val="es-AR" w:eastAsia="es-AR"/>
              </w:rPr>
              <w:t xml:space="preserve"> Fuel </w:t>
            </w:r>
            <w:proofErr w:type="spellStart"/>
            <w:r w:rsidRPr="00E412F2">
              <w:rPr>
                <w:rFonts w:ascii="Calibri" w:eastAsia="Times New Roman" w:hAnsi="Calibri"/>
                <w:color w:val="000000"/>
                <w:sz w:val="22"/>
                <w:szCs w:val="22"/>
                <w:lang w:val="es-AR" w:eastAsia="es-AR"/>
              </w:rPr>
              <w:t>oil</w:t>
            </w:r>
            <w:proofErr w:type="spellEnd"/>
            <w:r>
              <w:rPr>
                <w:rFonts w:ascii="Calibri" w:eastAsia="Times New Roman" w:hAnsi="Calibri"/>
                <w:color w:val="000000"/>
                <w:sz w:val="22"/>
                <w:szCs w:val="22"/>
                <w:lang w:val="es-AR" w:eastAsia="es-AR"/>
              </w:rPr>
              <w:t>,</w:t>
            </w:r>
            <w:r w:rsidRPr="00E412F2">
              <w:rPr>
                <w:rFonts w:ascii="Calibri" w:eastAsia="Times New Roman" w:hAnsi="Calibri"/>
                <w:b/>
                <w:bCs/>
                <w:color w:val="000000"/>
                <w:sz w:val="22"/>
                <w:szCs w:val="22"/>
                <w:lang w:val="es-AR" w:eastAsia="es-AR"/>
              </w:rPr>
              <w:t xml:space="preserve"> Paracetamol</w:t>
            </w:r>
            <w:r w:rsidRPr="00E412F2">
              <w:rPr>
                <w:rFonts w:ascii="Calibri" w:eastAsia="Times New Roman" w:hAnsi="Calibri"/>
                <w:color w:val="000000"/>
                <w:sz w:val="22"/>
                <w:szCs w:val="22"/>
                <w:lang w:val="es-AR" w:eastAsia="es-AR"/>
              </w:rPr>
              <w:t>,</w:t>
            </w:r>
            <w:r w:rsidRPr="00E412F2">
              <w:rPr>
                <w:rFonts w:ascii="Calibri" w:eastAsia="Times New Roman" w:hAnsi="Calibri"/>
                <w:b/>
                <w:bCs/>
                <w:color w:val="000000"/>
                <w:sz w:val="22"/>
                <w:szCs w:val="22"/>
                <w:lang w:val="es-AR" w:eastAsia="es-AR"/>
              </w:rPr>
              <w:t xml:space="preserve"> Nylon</w:t>
            </w:r>
            <w:r>
              <w:rPr>
                <w:rFonts w:ascii="Calibri" w:eastAsia="Times New Roman" w:hAnsi="Calibri"/>
                <w:color w:val="000000"/>
                <w:sz w:val="22"/>
                <w:szCs w:val="22"/>
                <w:lang w:val="es-AR" w:eastAsia="es-AR"/>
              </w:rPr>
              <w:t>.</w:t>
            </w:r>
          </w:p>
        </w:tc>
      </w:tr>
      <w:tr w:rsidR="00F115A6" w:rsidRPr="00433F51" w:rsidTr="00A344ED">
        <w:trPr>
          <w:trHeight w:val="765"/>
          <w:jc w:val="center"/>
        </w:trPr>
        <w:tc>
          <w:tcPr>
            <w:tcW w:w="363" w:type="dxa"/>
            <w:tcBorders>
              <w:top w:val="single" w:sz="4" w:space="0" w:color="FFFFFF"/>
              <w:left w:val="nil"/>
              <w:bottom w:val="nil"/>
              <w:right w:val="single" w:sz="4" w:space="0" w:color="FFFFFF"/>
            </w:tcBorders>
            <w:shd w:val="clear" w:color="B8CCE4" w:fill="B8CCE4"/>
            <w:vAlign w:val="center"/>
            <w:hideMark/>
          </w:tcPr>
          <w:p w:rsidR="00F115A6" w:rsidRPr="00E412F2" w:rsidRDefault="00F115A6" w:rsidP="00F115A6">
            <w:pPr>
              <w:spacing w:after="0"/>
              <w:rPr>
                <w:rFonts w:ascii="Calibri" w:eastAsia="Times New Roman" w:hAnsi="Calibri"/>
                <w:color w:val="000000"/>
                <w:sz w:val="22"/>
                <w:szCs w:val="22"/>
                <w:lang w:val="es-AR" w:eastAsia="es-AR"/>
              </w:rPr>
            </w:pPr>
            <w:r w:rsidRPr="00F115A6">
              <w:rPr>
                <w:rFonts w:ascii="Calibri" w:eastAsia="Times New Roman" w:hAnsi="Calibri"/>
                <w:b/>
                <w:color w:val="000000"/>
                <w:sz w:val="22"/>
                <w:szCs w:val="22"/>
                <w:lang w:val="es-AR" w:eastAsia="es-AR"/>
              </w:rPr>
              <w:t>4</w:t>
            </w:r>
          </w:p>
        </w:tc>
        <w:tc>
          <w:tcPr>
            <w:tcW w:w="2070" w:type="dxa"/>
            <w:tcBorders>
              <w:top w:val="single" w:sz="4" w:space="0" w:color="FFFFFF"/>
              <w:left w:val="single" w:sz="4" w:space="0" w:color="FFFFFF"/>
              <w:bottom w:val="nil"/>
              <w:right w:val="single" w:sz="4" w:space="0" w:color="FFFFFF"/>
            </w:tcBorders>
            <w:shd w:val="clear" w:color="B8CCE4" w:fill="B8CCE4"/>
            <w:vAlign w:val="center"/>
          </w:tcPr>
          <w:p w:rsidR="00F115A6" w:rsidRPr="00E412F2" w:rsidRDefault="00F115A6" w:rsidP="001425D9">
            <w:pPr>
              <w:spacing w:after="0"/>
              <w:rPr>
                <w:rFonts w:ascii="Calibri" w:eastAsia="Times New Roman" w:hAnsi="Calibri"/>
                <w:color w:val="000000"/>
                <w:sz w:val="22"/>
                <w:szCs w:val="22"/>
                <w:lang w:val="es-AR" w:eastAsia="es-AR"/>
              </w:rPr>
            </w:pPr>
            <w:r w:rsidRPr="00E412F2">
              <w:rPr>
                <w:rFonts w:ascii="Calibri" w:eastAsia="Times New Roman" w:hAnsi="Calibri"/>
                <w:color w:val="000000"/>
                <w:sz w:val="22"/>
                <w:szCs w:val="22"/>
                <w:lang w:val="es-AR" w:eastAsia="es-AR"/>
              </w:rPr>
              <w:t>Probablemente no Cancerígeno</w:t>
            </w:r>
          </w:p>
        </w:tc>
        <w:tc>
          <w:tcPr>
            <w:tcW w:w="1446" w:type="dxa"/>
            <w:tcBorders>
              <w:top w:val="single" w:sz="4" w:space="0" w:color="FFFFFF"/>
              <w:left w:val="single" w:sz="4" w:space="0" w:color="FFFFFF"/>
              <w:bottom w:val="nil"/>
              <w:right w:val="single" w:sz="4" w:space="0" w:color="FFFFFF"/>
            </w:tcBorders>
            <w:shd w:val="clear" w:color="B8CCE4" w:fill="B8CCE4"/>
            <w:vAlign w:val="center"/>
            <w:hideMark/>
          </w:tcPr>
          <w:p w:rsidR="00F115A6" w:rsidRPr="00E412F2" w:rsidRDefault="00F115A6" w:rsidP="00E412F2">
            <w:pPr>
              <w:spacing w:after="0"/>
              <w:jc w:val="center"/>
              <w:rPr>
                <w:rFonts w:ascii="Calibri" w:eastAsia="Times New Roman" w:hAnsi="Calibri"/>
                <w:color w:val="000000"/>
                <w:sz w:val="22"/>
                <w:szCs w:val="22"/>
                <w:lang w:val="es-AR" w:eastAsia="es-AR"/>
              </w:rPr>
            </w:pPr>
            <w:r w:rsidRPr="00E412F2">
              <w:rPr>
                <w:rFonts w:ascii="Calibri" w:eastAsia="Times New Roman" w:hAnsi="Calibri"/>
                <w:color w:val="000000"/>
                <w:sz w:val="22"/>
                <w:szCs w:val="22"/>
                <w:lang w:val="es-AR" w:eastAsia="es-AR"/>
              </w:rPr>
              <w:t>1</w:t>
            </w:r>
          </w:p>
        </w:tc>
        <w:tc>
          <w:tcPr>
            <w:tcW w:w="4877" w:type="dxa"/>
            <w:tcBorders>
              <w:top w:val="single" w:sz="4" w:space="0" w:color="FFFFFF"/>
              <w:left w:val="single" w:sz="4" w:space="0" w:color="FFFFFF"/>
              <w:bottom w:val="nil"/>
              <w:right w:val="nil"/>
            </w:tcBorders>
            <w:shd w:val="clear" w:color="B8CCE4" w:fill="B8CCE4"/>
            <w:vAlign w:val="center"/>
            <w:hideMark/>
          </w:tcPr>
          <w:p w:rsidR="00F115A6" w:rsidRPr="00E412F2" w:rsidRDefault="00F115A6" w:rsidP="00E412F2">
            <w:pPr>
              <w:spacing w:after="0"/>
              <w:jc w:val="both"/>
              <w:rPr>
                <w:rFonts w:ascii="Calibri" w:eastAsia="Times New Roman" w:hAnsi="Calibri"/>
                <w:color w:val="000000"/>
                <w:sz w:val="22"/>
                <w:szCs w:val="22"/>
                <w:lang w:val="es-AR" w:eastAsia="es-AR"/>
              </w:rPr>
            </w:pPr>
            <w:proofErr w:type="spellStart"/>
            <w:r w:rsidRPr="00E412F2">
              <w:rPr>
                <w:rFonts w:ascii="Calibri" w:eastAsia="Times New Roman" w:hAnsi="Calibri"/>
                <w:color w:val="000000"/>
                <w:sz w:val="22"/>
                <w:szCs w:val="22"/>
                <w:lang w:val="es-AR" w:eastAsia="es-AR"/>
              </w:rPr>
              <w:t>Caprolactama</w:t>
            </w:r>
            <w:proofErr w:type="spellEnd"/>
            <w:r w:rsidRPr="00E412F2">
              <w:rPr>
                <w:rFonts w:ascii="Calibri" w:eastAsia="Times New Roman" w:hAnsi="Calibri"/>
                <w:color w:val="000000"/>
                <w:sz w:val="22"/>
                <w:szCs w:val="22"/>
                <w:lang w:val="es-AR" w:eastAsia="es-AR"/>
              </w:rPr>
              <w:t xml:space="preserve"> (Pero de alta toxicidad aguda)</w:t>
            </w:r>
          </w:p>
        </w:tc>
      </w:tr>
    </w:tbl>
    <w:p w:rsidR="00302BE4" w:rsidRPr="00F702CB" w:rsidRDefault="00302BE4" w:rsidP="00302BE4">
      <w:pPr>
        <w:spacing w:after="0"/>
        <w:jc w:val="both"/>
        <w:rPr>
          <w:rFonts w:ascii="Arial" w:hAnsi="Arial" w:cs="Arial"/>
          <w:sz w:val="20"/>
          <w:szCs w:val="20"/>
          <w:lang w:val="es-AR"/>
        </w:rPr>
      </w:pPr>
    </w:p>
    <w:p w:rsidR="00EE1CB9" w:rsidRPr="009613CE" w:rsidRDefault="0064591F" w:rsidP="0064591F">
      <w:pPr>
        <w:spacing w:line="276" w:lineRule="auto"/>
        <w:jc w:val="both"/>
        <w:rPr>
          <w:rFonts w:ascii="Arial" w:hAnsi="Arial" w:cs="Arial"/>
          <w:sz w:val="20"/>
          <w:szCs w:val="20"/>
          <w:lang w:val="es-AR"/>
        </w:rPr>
      </w:pPr>
      <w:r w:rsidRPr="009613CE">
        <w:rPr>
          <w:rFonts w:ascii="Arial" w:hAnsi="Arial" w:cs="Arial"/>
          <w:bCs/>
          <w:sz w:val="20"/>
          <w:szCs w:val="20"/>
          <w:lang w:val="es-AR"/>
        </w:rPr>
        <w:t>Grupo</w:t>
      </w:r>
      <w:r w:rsidR="00F115A6">
        <w:rPr>
          <w:rFonts w:ascii="Arial" w:hAnsi="Arial" w:cs="Arial"/>
          <w:bCs/>
          <w:sz w:val="20"/>
          <w:szCs w:val="20"/>
          <w:lang w:val="es-AR"/>
        </w:rPr>
        <w:t xml:space="preserve"> </w:t>
      </w:r>
      <w:r w:rsidRPr="009613CE">
        <w:rPr>
          <w:rFonts w:ascii="Arial" w:hAnsi="Arial" w:cs="Arial"/>
          <w:bCs/>
          <w:sz w:val="20"/>
          <w:szCs w:val="20"/>
          <w:lang w:val="es-AR"/>
        </w:rPr>
        <w:t>3: evidencia inadecuada</w:t>
      </w:r>
      <w:r w:rsidR="009613CE" w:rsidRPr="009613CE">
        <w:rPr>
          <w:rFonts w:ascii="Arial" w:hAnsi="Arial" w:cs="Arial"/>
          <w:bCs/>
          <w:sz w:val="20"/>
          <w:szCs w:val="20"/>
          <w:lang w:val="es-AR"/>
        </w:rPr>
        <w:t>.</w:t>
      </w:r>
      <w:r w:rsidRPr="009613CE">
        <w:rPr>
          <w:rFonts w:ascii="Arial" w:hAnsi="Arial" w:cs="Arial"/>
          <w:bCs/>
          <w:sz w:val="20"/>
          <w:szCs w:val="20"/>
          <w:lang w:val="es-AR"/>
        </w:rPr>
        <w:t xml:space="preserve"> </w:t>
      </w:r>
      <w:r w:rsidR="009613CE" w:rsidRPr="009613CE">
        <w:rPr>
          <w:rFonts w:ascii="Arial" w:hAnsi="Arial" w:cs="Arial"/>
          <w:bCs/>
          <w:sz w:val="20"/>
          <w:szCs w:val="20"/>
          <w:lang w:val="es-AR"/>
        </w:rPr>
        <w:t>L</w:t>
      </w:r>
      <w:r w:rsidRPr="009613CE">
        <w:rPr>
          <w:rFonts w:ascii="Arial" w:hAnsi="Arial" w:cs="Arial"/>
          <w:bCs/>
          <w:sz w:val="20"/>
          <w:szCs w:val="20"/>
          <w:lang w:val="es-AR"/>
        </w:rPr>
        <w:t xml:space="preserve">os </w:t>
      </w:r>
      <w:r w:rsidR="00895B28" w:rsidRPr="009613CE">
        <w:rPr>
          <w:rFonts w:ascii="Arial" w:hAnsi="Arial" w:cs="Arial"/>
          <w:bCs/>
          <w:sz w:val="20"/>
          <w:szCs w:val="20"/>
          <w:lang w:val="es-AR"/>
        </w:rPr>
        <w:t>e</w:t>
      </w:r>
      <w:r w:rsidRPr="009613CE">
        <w:rPr>
          <w:rFonts w:ascii="Arial" w:hAnsi="Arial" w:cs="Arial"/>
          <w:bCs/>
          <w:sz w:val="20"/>
          <w:szCs w:val="20"/>
          <w:lang w:val="es-AR"/>
        </w:rPr>
        <w:t xml:space="preserve">studios son de calidad, consistencia o poder estadístico </w:t>
      </w:r>
      <w:r w:rsidR="00895B28" w:rsidRPr="009613CE">
        <w:rPr>
          <w:rFonts w:ascii="Arial" w:hAnsi="Arial" w:cs="Arial"/>
          <w:bCs/>
          <w:sz w:val="20"/>
          <w:szCs w:val="20"/>
          <w:lang w:val="es-AR"/>
        </w:rPr>
        <w:t xml:space="preserve">insuficiente </w:t>
      </w:r>
      <w:r w:rsidRPr="009613CE">
        <w:rPr>
          <w:rFonts w:ascii="Arial" w:hAnsi="Arial" w:cs="Arial"/>
          <w:bCs/>
          <w:sz w:val="20"/>
          <w:szCs w:val="20"/>
          <w:lang w:val="es-AR"/>
        </w:rPr>
        <w:t>para permitir una conclusión (</w:t>
      </w:r>
      <w:r w:rsidR="00895B28" w:rsidRPr="009613CE">
        <w:rPr>
          <w:rFonts w:ascii="Arial" w:hAnsi="Arial" w:cs="Arial"/>
          <w:bCs/>
          <w:sz w:val="20"/>
          <w:szCs w:val="20"/>
          <w:lang w:val="es-AR"/>
        </w:rPr>
        <w:t xml:space="preserve">los </w:t>
      </w:r>
      <w:r w:rsidRPr="009613CE">
        <w:rPr>
          <w:rFonts w:ascii="Arial" w:hAnsi="Arial" w:cs="Arial"/>
          <w:bCs/>
          <w:sz w:val="20"/>
          <w:szCs w:val="20"/>
          <w:lang w:val="es-AR"/>
        </w:rPr>
        <w:t xml:space="preserve">criterios para todos los grupos </w:t>
      </w:r>
      <w:r w:rsidR="00895B28" w:rsidRPr="009613CE">
        <w:rPr>
          <w:rFonts w:ascii="Arial" w:hAnsi="Arial" w:cs="Arial"/>
          <w:bCs/>
          <w:sz w:val="20"/>
          <w:szCs w:val="20"/>
          <w:lang w:val="es-AR"/>
        </w:rPr>
        <w:t xml:space="preserve">se encuentran </w:t>
      </w:r>
      <w:r w:rsidRPr="009613CE">
        <w:rPr>
          <w:rFonts w:ascii="Arial" w:hAnsi="Arial" w:cs="Arial"/>
          <w:bCs/>
          <w:sz w:val="20"/>
          <w:szCs w:val="20"/>
          <w:lang w:val="es-AR"/>
        </w:rPr>
        <w:t>en</w:t>
      </w:r>
      <w:r w:rsidR="009613CE" w:rsidRPr="009613CE">
        <w:rPr>
          <w:rFonts w:ascii="Arial" w:hAnsi="Arial" w:cs="Arial"/>
          <w:bCs/>
          <w:sz w:val="20"/>
          <w:szCs w:val="20"/>
          <w:lang w:val="es-AR"/>
        </w:rPr>
        <w:t xml:space="preserve"> el siguiente link</w:t>
      </w:r>
      <w:r w:rsidRPr="009613CE">
        <w:rPr>
          <w:rFonts w:ascii="Arial" w:hAnsi="Arial" w:cs="Arial"/>
          <w:sz w:val="20"/>
          <w:szCs w:val="20"/>
          <w:lang w:val="es-AR"/>
        </w:rPr>
        <w:t xml:space="preserve"> </w:t>
      </w:r>
      <w:hyperlink r:id="rId9" w:history="1">
        <w:r w:rsidRPr="009613CE">
          <w:rPr>
            <w:rStyle w:val="Hipervnculo"/>
            <w:rFonts w:ascii="Arial" w:hAnsi="Arial" w:cs="Arial"/>
            <w:sz w:val="20"/>
            <w:szCs w:val="20"/>
            <w:lang w:val="es-AR"/>
          </w:rPr>
          <w:t>http://monographs.iarc.fr/ENG/Preamble/Curre</w:t>
        </w:r>
        <w:r w:rsidRPr="009613CE">
          <w:rPr>
            <w:rStyle w:val="Hipervnculo"/>
            <w:rFonts w:ascii="Arial" w:hAnsi="Arial" w:cs="Arial"/>
            <w:sz w:val="20"/>
            <w:szCs w:val="20"/>
            <w:lang w:val="es-AR"/>
          </w:rPr>
          <w:t>n</w:t>
        </w:r>
        <w:r w:rsidRPr="009613CE">
          <w:rPr>
            <w:rStyle w:val="Hipervnculo"/>
            <w:rFonts w:ascii="Arial" w:hAnsi="Arial" w:cs="Arial"/>
            <w:sz w:val="20"/>
            <w:szCs w:val="20"/>
            <w:lang w:val="es-AR"/>
          </w:rPr>
          <w:t>tPreamble.pdf</w:t>
        </w:r>
      </w:hyperlink>
      <w:r w:rsidRPr="009613CE">
        <w:rPr>
          <w:rFonts w:ascii="Arial" w:hAnsi="Arial" w:cs="Arial"/>
          <w:bCs/>
          <w:sz w:val="20"/>
          <w:szCs w:val="20"/>
          <w:lang w:val="es-AR"/>
        </w:rPr>
        <w:t>)</w:t>
      </w:r>
    </w:p>
    <w:p w:rsidR="00C17DED" w:rsidRPr="008C0917" w:rsidRDefault="00AA3E41" w:rsidP="008C0917">
      <w:pPr>
        <w:spacing w:line="276" w:lineRule="auto"/>
        <w:jc w:val="both"/>
        <w:rPr>
          <w:rFonts w:ascii="Arial" w:hAnsi="Arial" w:cs="Arial"/>
          <w:lang w:val="es-AR"/>
        </w:rPr>
      </w:pPr>
      <w:r w:rsidRPr="008C0917">
        <w:rPr>
          <w:rFonts w:ascii="Arial" w:hAnsi="Arial" w:cs="Arial"/>
          <w:lang w:val="es-AR"/>
        </w:rPr>
        <w:t>Por otro lado</w:t>
      </w:r>
      <w:r w:rsidR="00146F80" w:rsidRPr="008C0917">
        <w:rPr>
          <w:rFonts w:ascii="Arial" w:hAnsi="Arial" w:cs="Arial"/>
          <w:lang w:val="es-AR"/>
        </w:rPr>
        <w:t>, q</w:t>
      </w:r>
      <w:r w:rsidR="00C17DED" w:rsidRPr="008C0917">
        <w:rPr>
          <w:rFonts w:ascii="Arial" w:hAnsi="Arial" w:cs="Arial"/>
          <w:lang w:val="es-AR"/>
        </w:rPr>
        <w:t xml:space="preserve">ue un producto o actividad estén incluidos en las categorías 1, 2A o 2B no significa que los productos no puedan ser </w:t>
      </w:r>
      <w:r w:rsidR="00823528" w:rsidRPr="008C0917">
        <w:rPr>
          <w:rFonts w:ascii="Arial" w:hAnsi="Arial" w:cs="Arial"/>
          <w:lang w:val="es-AR"/>
        </w:rPr>
        <w:t>utilizados.</w:t>
      </w:r>
      <w:r w:rsidR="00C17DED" w:rsidRPr="008C0917">
        <w:rPr>
          <w:rFonts w:ascii="Arial" w:hAnsi="Arial" w:cs="Arial"/>
          <w:lang w:val="es-AR"/>
        </w:rPr>
        <w:t xml:space="preserve"> </w:t>
      </w:r>
      <w:r w:rsidR="00823528" w:rsidRPr="008C0917">
        <w:rPr>
          <w:rFonts w:ascii="Arial" w:hAnsi="Arial" w:cs="Arial"/>
          <w:lang w:val="es-AR"/>
        </w:rPr>
        <w:t>E</w:t>
      </w:r>
      <w:r w:rsidR="00C17DED" w:rsidRPr="008C0917">
        <w:rPr>
          <w:rFonts w:ascii="Arial" w:hAnsi="Arial" w:cs="Arial"/>
          <w:lang w:val="es-AR"/>
        </w:rPr>
        <w:t xml:space="preserve">s necesario considerar las dosis utilizadas, o el tiempo al que las personas deben estar expuestas para que se pueda producir una </w:t>
      </w:r>
      <w:r w:rsidR="00823528" w:rsidRPr="008C0917">
        <w:rPr>
          <w:rFonts w:ascii="Arial" w:hAnsi="Arial" w:cs="Arial"/>
          <w:lang w:val="es-AR"/>
        </w:rPr>
        <w:t xml:space="preserve">intoxicación o una </w:t>
      </w:r>
      <w:r w:rsidR="00C17DED" w:rsidRPr="008C0917">
        <w:rPr>
          <w:rFonts w:ascii="Arial" w:hAnsi="Arial" w:cs="Arial"/>
          <w:lang w:val="es-AR"/>
        </w:rPr>
        <w:t>enfermedad</w:t>
      </w:r>
      <w:r w:rsidR="001A4412">
        <w:rPr>
          <w:rFonts w:ascii="Arial" w:hAnsi="Arial" w:cs="Arial"/>
          <w:lang w:val="es-AR"/>
        </w:rPr>
        <w:t>.</w:t>
      </w:r>
      <w:r w:rsidR="00C17DED" w:rsidRPr="008C0917">
        <w:rPr>
          <w:rFonts w:ascii="Arial" w:hAnsi="Arial" w:cs="Arial"/>
          <w:lang w:val="es-AR"/>
        </w:rPr>
        <w:t xml:space="preserve"> La clave está en el uso y, como consecuencia, en la exposición a </w:t>
      </w:r>
      <w:r w:rsidR="00E412F2" w:rsidRPr="008C0917">
        <w:rPr>
          <w:rFonts w:ascii="Arial" w:hAnsi="Arial" w:cs="Arial"/>
          <w:lang w:val="es-AR"/>
        </w:rPr>
        <w:t>dichos productos o actividades.</w:t>
      </w:r>
    </w:p>
    <w:p w:rsidR="00AA3E41" w:rsidRPr="008C0917" w:rsidRDefault="00D607F5" w:rsidP="008C0917">
      <w:pPr>
        <w:spacing w:line="276" w:lineRule="auto"/>
        <w:jc w:val="both"/>
        <w:rPr>
          <w:rFonts w:ascii="Arial" w:hAnsi="Arial" w:cs="Arial"/>
          <w:b/>
          <w:u w:val="single"/>
          <w:lang w:val="es-AR"/>
        </w:rPr>
      </w:pPr>
      <w:r w:rsidRPr="008C0917">
        <w:rPr>
          <w:rFonts w:ascii="Arial" w:hAnsi="Arial" w:cs="Arial"/>
          <w:b/>
          <w:u w:val="single"/>
          <w:lang w:val="es-AR"/>
        </w:rPr>
        <w:lastRenderedPageBreak/>
        <w:t>En r</w:t>
      </w:r>
      <w:r w:rsidR="00511D72" w:rsidRPr="008C0917">
        <w:rPr>
          <w:rFonts w:ascii="Arial" w:hAnsi="Arial" w:cs="Arial"/>
          <w:b/>
          <w:u w:val="single"/>
          <w:lang w:val="es-AR"/>
        </w:rPr>
        <w:t>esumen</w:t>
      </w:r>
      <w:r w:rsidR="005D727B" w:rsidRPr="008C0917">
        <w:rPr>
          <w:rFonts w:ascii="Arial" w:hAnsi="Arial" w:cs="Arial"/>
          <w:b/>
          <w:u w:val="single"/>
          <w:lang w:val="es-AR"/>
        </w:rPr>
        <w:t xml:space="preserve"> sobre la IARC</w:t>
      </w:r>
      <w:r w:rsidR="00AA3E41" w:rsidRPr="008C0917">
        <w:rPr>
          <w:rFonts w:ascii="Arial" w:hAnsi="Arial" w:cs="Arial"/>
          <w:b/>
          <w:u w:val="single"/>
          <w:lang w:val="es-AR"/>
        </w:rPr>
        <w:t xml:space="preserve">. </w:t>
      </w:r>
    </w:p>
    <w:p w:rsidR="001A4412" w:rsidRDefault="00AA3E41" w:rsidP="00A017F0">
      <w:pPr>
        <w:numPr>
          <w:ilvl w:val="0"/>
          <w:numId w:val="15"/>
        </w:numPr>
        <w:spacing w:line="276" w:lineRule="auto"/>
        <w:jc w:val="both"/>
        <w:rPr>
          <w:rFonts w:ascii="Arial" w:hAnsi="Arial" w:cs="Arial"/>
          <w:lang w:val="es-AR"/>
        </w:rPr>
      </w:pPr>
      <w:r w:rsidRPr="001A4412">
        <w:rPr>
          <w:rFonts w:ascii="Arial" w:hAnsi="Arial" w:cs="Arial"/>
          <w:lang w:val="es-AR"/>
        </w:rPr>
        <w:t>Las conclusiones de importantes</w:t>
      </w:r>
      <w:r w:rsidR="0064591F">
        <w:rPr>
          <w:rFonts w:ascii="Arial" w:hAnsi="Arial" w:cs="Arial"/>
          <w:lang w:val="es-AR"/>
        </w:rPr>
        <w:t xml:space="preserve"> </w:t>
      </w:r>
      <w:r w:rsidR="0064591F" w:rsidRPr="009613CE">
        <w:rPr>
          <w:rFonts w:ascii="Arial" w:hAnsi="Arial" w:cs="Arial"/>
          <w:lang w:val="es-AR"/>
        </w:rPr>
        <w:t>grupos de expertos</w:t>
      </w:r>
      <w:r w:rsidR="0064591F">
        <w:rPr>
          <w:rFonts w:ascii="Arial" w:hAnsi="Arial" w:cs="Arial"/>
          <w:lang w:val="es-AR"/>
        </w:rPr>
        <w:t xml:space="preserve"> y</w:t>
      </w:r>
      <w:r w:rsidR="005D727B" w:rsidRPr="001A4412">
        <w:rPr>
          <w:rFonts w:ascii="Arial" w:hAnsi="Arial" w:cs="Arial"/>
          <w:lang w:val="es-AR"/>
        </w:rPr>
        <w:t xml:space="preserve"> </w:t>
      </w:r>
      <w:r w:rsidRPr="001A4412">
        <w:rPr>
          <w:rFonts w:ascii="Arial" w:hAnsi="Arial" w:cs="Arial"/>
          <w:lang w:val="es-AR"/>
        </w:rPr>
        <w:t>agencias regulatorias del mundo indican que</w:t>
      </w:r>
      <w:r w:rsidR="007944E9" w:rsidRPr="001A4412">
        <w:rPr>
          <w:rFonts w:ascii="Arial" w:hAnsi="Arial" w:cs="Arial"/>
          <w:lang w:val="es-AR"/>
        </w:rPr>
        <w:t xml:space="preserve"> el</w:t>
      </w:r>
      <w:r w:rsidRPr="001A4412">
        <w:rPr>
          <w:rFonts w:ascii="Arial" w:hAnsi="Arial" w:cs="Arial"/>
          <w:lang w:val="es-AR"/>
        </w:rPr>
        <w:t xml:space="preserve"> glifosato no pres</w:t>
      </w:r>
      <w:r w:rsidR="008C0917" w:rsidRPr="001A4412">
        <w:rPr>
          <w:rFonts w:ascii="Arial" w:hAnsi="Arial" w:cs="Arial"/>
          <w:lang w:val="es-AR"/>
        </w:rPr>
        <w:t>enta un potencial carcinogénico</w:t>
      </w:r>
      <w:r w:rsidRPr="001A4412">
        <w:rPr>
          <w:rFonts w:ascii="Arial" w:hAnsi="Arial" w:cs="Arial"/>
          <w:lang w:val="es-AR"/>
        </w:rPr>
        <w:t xml:space="preserve"> y que el uso del producto </w:t>
      </w:r>
      <w:r w:rsidR="00A344ED">
        <w:rPr>
          <w:rFonts w:ascii="Arial" w:hAnsi="Arial" w:cs="Arial"/>
          <w:lang w:val="es-AR"/>
        </w:rPr>
        <w:t xml:space="preserve">en forma correcta </w:t>
      </w:r>
      <w:r w:rsidRPr="001A4412">
        <w:rPr>
          <w:rFonts w:ascii="Arial" w:hAnsi="Arial" w:cs="Arial"/>
          <w:lang w:val="es-AR"/>
        </w:rPr>
        <w:t>es seguro</w:t>
      </w:r>
      <w:r w:rsidR="008C0917" w:rsidRPr="001A4412">
        <w:rPr>
          <w:rFonts w:ascii="Arial" w:hAnsi="Arial" w:cs="Arial"/>
          <w:lang w:val="es-AR"/>
        </w:rPr>
        <w:t>,</w:t>
      </w:r>
      <w:r w:rsidRPr="001A4412">
        <w:rPr>
          <w:rFonts w:ascii="Arial" w:hAnsi="Arial" w:cs="Arial"/>
          <w:lang w:val="es-AR"/>
        </w:rPr>
        <w:t xml:space="preserve"> y no presenta riesgos. </w:t>
      </w:r>
      <w:r w:rsidR="001A4412" w:rsidRPr="001A4412">
        <w:rPr>
          <w:rFonts w:ascii="Arial" w:hAnsi="Arial" w:cs="Arial"/>
          <w:lang w:val="es-AR"/>
        </w:rPr>
        <w:t>La revisión realizada por la IARC no incluyó los estudios más recientes sobre carcinogenicidad, que han sido evaluados por otras agencias regulatorias</w:t>
      </w:r>
      <w:r w:rsidR="00A344ED">
        <w:rPr>
          <w:rFonts w:ascii="Arial" w:hAnsi="Arial" w:cs="Arial"/>
          <w:lang w:val="es-AR"/>
        </w:rPr>
        <w:t>.</w:t>
      </w:r>
    </w:p>
    <w:p w:rsidR="00AA3E41" w:rsidRPr="008C0917" w:rsidRDefault="005E3E3D" w:rsidP="008C0917">
      <w:pPr>
        <w:numPr>
          <w:ilvl w:val="0"/>
          <w:numId w:val="15"/>
        </w:numPr>
        <w:spacing w:line="276" w:lineRule="auto"/>
        <w:jc w:val="both"/>
        <w:rPr>
          <w:rFonts w:ascii="Arial" w:hAnsi="Arial" w:cs="Arial"/>
          <w:lang w:val="es-AR"/>
        </w:rPr>
      </w:pPr>
      <w:r w:rsidRPr="009613CE">
        <w:rPr>
          <w:rFonts w:ascii="Arial" w:hAnsi="Arial" w:cs="Arial"/>
          <w:lang w:val="es-AR"/>
        </w:rPr>
        <w:t>E</w:t>
      </w:r>
      <w:r w:rsidR="00AA3E41" w:rsidRPr="009613CE">
        <w:rPr>
          <w:rFonts w:ascii="Arial" w:hAnsi="Arial" w:cs="Arial"/>
          <w:lang w:val="es-AR"/>
        </w:rPr>
        <w:t>l glifosato está</w:t>
      </w:r>
      <w:r w:rsidR="00AA3E41" w:rsidRPr="008C0917">
        <w:rPr>
          <w:rFonts w:ascii="Arial" w:hAnsi="Arial" w:cs="Arial"/>
          <w:lang w:val="es-AR"/>
        </w:rPr>
        <w:t xml:space="preserve"> aprobado por las agencias regulatorias de más de 140 países, incluyendo a las más exigentes como las de Japón, EE.UU y Alemania. </w:t>
      </w:r>
    </w:p>
    <w:p w:rsidR="008C0917" w:rsidRDefault="008C0917" w:rsidP="008C0917">
      <w:pPr>
        <w:numPr>
          <w:ilvl w:val="0"/>
          <w:numId w:val="15"/>
        </w:numPr>
        <w:spacing w:line="276" w:lineRule="auto"/>
        <w:jc w:val="both"/>
        <w:rPr>
          <w:rFonts w:ascii="Arial" w:hAnsi="Arial" w:cs="Arial"/>
          <w:lang w:val="es-AR"/>
        </w:rPr>
      </w:pPr>
      <w:r w:rsidRPr="008C0917">
        <w:rPr>
          <w:rFonts w:ascii="Arial" w:hAnsi="Arial" w:cs="Arial"/>
          <w:lang w:val="es-AR"/>
        </w:rPr>
        <w:t xml:space="preserve">La conclusión </w:t>
      </w:r>
      <w:r>
        <w:rPr>
          <w:rFonts w:ascii="Arial" w:hAnsi="Arial" w:cs="Arial"/>
          <w:lang w:val="es-AR"/>
        </w:rPr>
        <w:t>de</w:t>
      </w:r>
      <w:r w:rsidR="00A344ED">
        <w:rPr>
          <w:rFonts w:ascii="Arial" w:hAnsi="Arial" w:cs="Arial"/>
          <w:lang w:val="es-AR"/>
        </w:rPr>
        <w:t xml:space="preserve"> </w:t>
      </w:r>
      <w:r>
        <w:rPr>
          <w:rFonts w:ascii="Arial" w:hAnsi="Arial" w:cs="Arial"/>
          <w:lang w:val="es-AR"/>
        </w:rPr>
        <w:t>l</w:t>
      </w:r>
      <w:r w:rsidR="00A344ED">
        <w:rPr>
          <w:rFonts w:ascii="Arial" w:hAnsi="Arial" w:cs="Arial"/>
          <w:lang w:val="es-AR"/>
        </w:rPr>
        <w:t>a</w:t>
      </w:r>
      <w:r>
        <w:rPr>
          <w:rFonts w:ascii="Arial" w:hAnsi="Arial" w:cs="Arial"/>
          <w:lang w:val="es-AR"/>
        </w:rPr>
        <w:t xml:space="preserve"> IARC </w:t>
      </w:r>
      <w:r w:rsidRPr="008C0917">
        <w:rPr>
          <w:rFonts w:ascii="Arial" w:hAnsi="Arial" w:cs="Arial"/>
          <w:lang w:val="es-AR"/>
        </w:rPr>
        <w:t>no está apoyada por la evidencia científica disponible</w:t>
      </w:r>
      <w:r>
        <w:rPr>
          <w:rFonts w:ascii="Arial" w:hAnsi="Arial" w:cs="Arial"/>
          <w:lang w:val="es-AR"/>
        </w:rPr>
        <w:t>, ya que</w:t>
      </w:r>
      <w:r w:rsidRPr="008C0917">
        <w:rPr>
          <w:rFonts w:ascii="Arial" w:hAnsi="Arial" w:cs="Arial"/>
          <w:lang w:val="es-AR"/>
        </w:rPr>
        <w:t xml:space="preserve">  la clasificación no es consistente con las numerosas  y  completas evaluaciones que han realizado a lo largo de muchos años </w:t>
      </w:r>
      <w:r w:rsidRPr="009613CE">
        <w:rPr>
          <w:rFonts w:ascii="Arial" w:hAnsi="Arial" w:cs="Arial"/>
          <w:lang w:val="es-AR"/>
        </w:rPr>
        <w:t>científicos de países</w:t>
      </w:r>
      <w:r w:rsidRPr="008C0917">
        <w:rPr>
          <w:rFonts w:ascii="Arial" w:hAnsi="Arial" w:cs="Arial"/>
          <w:lang w:val="es-AR"/>
        </w:rPr>
        <w:t xml:space="preserve"> de todo el mundo que son responsables de </w:t>
      </w:r>
      <w:r w:rsidR="005E3E3D" w:rsidRPr="009613CE">
        <w:rPr>
          <w:rFonts w:ascii="Arial" w:hAnsi="Arial" w:cs="Arial"/>
          <w:lang w:val="es-AR"/>
        </w:rPr>
        <w:t>garantizar</w:t>
      </w:r>
      <w:r w:rsidR="005E3E3D">
        <w:rPr>
          <w:rFonts w:ascii="Arial" w:hAnsi="Arial" w:cs="Arial"/>
          <w:lang w:val="es-AR"/>
        </w:rPr>
        <w:t xml:space="preserve"> </w:t>
      </w:r>
      <w:r w:rsidRPr="008C0917">
        <w:rPr>
          <w:rFonts w:ascii="Arial" w:hAnsi="Arial" w:cs="Arial"/>
          <w:lang w:val="es-AR"/>
        </w:rPr>
        <w:t>la seguridad pública.</w:t>
      </w:r>
    </w:p>
    <w:p w:rsidR="00AA3E41" w:rsidRPr="008C0917" w:rsidRDefault="00AA3E41" w:rsidP="008C0917">
      <w:pPr>
        <w:numPr>
          <w:ilvl w:val="0"/>
          <w:numId w:val="15"/>
        </w:numPr>
        <w:spacing w:line="276" w:lineRule="auto"/>
        <w:jc w:val="both"/>
        <w:rPr>
          <w:rFonts w:ascii="Arial" w:hAnsi="Arial" w:cs="Arial"/>
          <w:lang w:val="es-AR"/>
        </w:rPr>
      </w:pPr>
      <w:r w:rsidRPr="008C0917">
        <w:rPr>
          <w:rFonts w:ascii="Arial" w:hAnsi="Arial" w:cs="Arial"/>
          <w:lang w:val="es-AR"/>
        </w:rPr>
        <w:t xml:space="preserve">Para la IARC, </w:t>
      </w:r>
      <w:r w:rsidR="00A017F0">
        <w:rPr>
          <w:rFonts w:ascii="Arial" w:hAnsi="Arial" w:cs="Arial"/>
          <w:lang w:val="es-AR"/>
        </w:rPr>
        <w:t>los productos fitosanitarios clasificados</w:t>
      </w:r>
      <w:r w:rsidR="00A344ED">
        <w:rPr>
          <w:rFonts w:ascii="Arial" w:hAnsi="Arial" w:cs="Arial"/>
          <w:lang w:val="es-AR"/>
        </w:rPr>
        <w:t xml:space="preserve"> no forman parte de la categoría 1</w:t>
      </w:r>
      <w:r w:rsidR="00F34A77">
        <w:rPr>
          <w:rFonts w:ascii="Arial" w:hAnsi="Arial" w:cs="Arial"/>
          <w:lang w:val="es-AR"/>
        </w:rPr>
        <w:t>,</w:t>
      </w:r>
      <w:r w:rsidRPr="008C0917">
        <w:rPr>
          <w:rFonts w:ascii="Arial" w:hAnsi="Arial" w:cs="Arial"/>
          <w:lang w:val="es-AR"/>
        </w:rPr>
        <w:t xml:space="preserve"> cancerígeno</w:t>
      </w:r>
      <w:r w:rsidR="00A017F0">
        <w:rPr>
          <w:rFonts w:ascii="Arial" w:hAnsi="Arial" w:cs="Arial"/>
          <w:lang w:val="es-AR"/>
        </w:rPr>
        <w:t>s</w:t>
      </w:r>
      <w:r w:rsidR="00A344ED">
        <w:rPr>
          <w:rFonts w:ascii="Arial" w:hAnsi="Arial" w:cs="Arial"/>
          <w:lang w:val="es-AR"/>
        </w:rPr>
        <w:t xml:space="preserve"> para los seres humanos</w:t>
      </w:r>
      <w:r w:rsidR="00876FE4">
        <w:rPr>
          <w:rFonts w:ascii="Arial" w:hAnsi="Arial" w:cs="Arial"/>
          <w:lang w:val="es-AR"/>
        </w:rPr>
        <w:t>,</w:t>
      </w:r>
      <w:r w:rsidRPr="008C0917">
        <w:rPr>
          <w:rFonts w:ascii="Arial" w:hAnsi="Arial" w:cs="Arial"/>
          <w:lang w:val="es-AR"/>
        </w:rPr>
        <w:t xml:space="preserve"> </w:t>
      </w:r>
      <w:r w:rsidR="00876FE4">
        <w:rPr>
          <w:rFonts w:ascii="Arial" w:hAnsi="Arial" w:cs="Arial"/>
          <w:lang w:val="es-AR"/>
        </w:rPr>
        <w:t>tal como lo son e</w:t>
      </w:r>
      <w:r w:rsidRPr="008C0917">
        <w:rPr>
          <w:rFonts w:ascii="Arial" w:hAnsi="Arial" w:cs="Arial"/>
          <w:lang w:val="es-AR"/>
        </w:rPr>
        <w:t>l amianto, el arsénico, el tabaco, los rayos X o la luz solar</w:t>
      </w:r>
      <w:r w:rsidR="00823528" w:rsidRPr="008C0917">
        <w:rPr>
          <w:rFonts w:ascii="Arial" w:hAnsi="Arial" w:cs="Arial"/>
          <w:lang w:val="es-AR"/>
        </w:rPr>
        <w:t>.</w:t>
      </w:r>
    </w:p>
    <w:p w:rsidR="00AA3E41" w:rsidRDefault="00AA3E41" w:rsidP="008C0917">
      <w:pPr>
        <w:numPr>
          <w:ilvl w:val="0"/>
          <w:numId w:val="15"/>
        </w:numPr>
        <w:spacing w:line="276" w:lineRule="auto"/>
        <w:jc w:val="both"/>
        <w:rPr>
          <w:rFonts w:ascii="Arial" w:hAnsi="Arial" w:cs="Arial"/>
          <w:lang w:val="es-AR"/>
        </w:rPr>
      </w:pPr>
      <w:r w:rsidRPr="008C0917">
        <w:rPr>
          <w:rFonts w:ascii="Arial" w:hAnsi="Arial" w:cs="Arial"/>
          <w:lang w:val="es-AR"/>
        </w:rPr>
        <w:t xml:space="preserve">Para la IARC, el glifosato comparte </w:t>
      </w:r>
      <w:r w:rsidR="00876FE4" w:rsidRPr="00876FE4">
        <w:rPr>
          <w:rFonts w:ascii="Arial" w:hAnsi="Arial" w:cs="Arial"/>
          <w:lang w:val="es-AR"/>
        </w:rPr>
        <w:t>la</w:t>
      </w:r>
      <w:r w:rsidRPr="00876FE4">
        <w:rPr>
          <w:rFonts w:ascii="Arial" w:hAnsi="Arial" w:cs="Arial"/>
          <w:lang w:val="es-AR"/>
        </w:rPr>
        <w:t xml:space="preserve"> </w:t>
      </w:r>
      <w:r w:rsidR="00876FE4" w:rsidRPr="00876FE4">
        <w:rPr>
          <w:rFonts w:ascii="Arial" w:hAnsi="Arial" w:cs="Arial"/>
          <w:lang w:val="es-AR"/>
        </w:rPr>
        <w:t>misma</w:t>
      </w:r>
      <w:r w:rsidRPr="00876FE4">
        <w:rPr>
          <w:rFonts w:ascii="Arial" w:hAnsi="Arial" w:cs="Arial"/>
          <w:lang w:val="es-AR"/>
        </w:rPr>
        <w:t xml:space="preserve"> </w:t>
      </w:r>
      <w:r w:rsidR="00876FE4">
        <w:rPr>
          <w:rFonts w:ascii="Arial" w:hAnsi="Arial" w:cs="Arial"/>
          <w:lang w:val="es-AR"/>
        </w:rPr>
        <w:t>probabilidad de ser</w:t>
      </w:r>
      <w:r w:rsidRPr="008C0917">
        <w:rPr>
          <w:rFonts w:ascii="Arial" w:hAnsi="Arial" w:cs="Arial"/>
          <w:lang w:val="es-AR"/>
        </w:rPr>
        <w:t xml:space="preserve"> cancerígeno que el Mate</w:t>
      </w:r>
      <w:r w:rsidR="008C0917">
        <w:rPr>
          <w:rFonts w:ascii="Arial" w:hAnsi="Arial" w:cs="Arial"/>
          <w:lang w:val="es-AR"/>
        </w:rPr>
        <w:t xml:space="preserve"> caliente</w:t>
      </w:r>
      <w:r w:rsidRPr="008C0917">
        <w:rPr>
          <w:rFonts w:ascii="Arial" w:hAnsi="Arial" w:cs="Arial"/>
          <w:lang w:val="es-AR"/>
        </w:rPr>
        <w:t>, las emisiones de una chimenea hogareña o trabajar en una peluquería.</w:t>
      </w:r>
    </w:p>
    <w:p w:rsidR="00A017F0" w:rsidRPr="00876FE4" w:rsidRDefault="00D02707" w:rsidP="00145D45">
      <w:pPr>
        <w:numPr>
          <w:ilvl w:val="0"/>
          <w:numId w:val="15"/>
        </w:numPr>
        <w:spacing w:line="276" w:lineRule="auto"/>
        <w:jc w:val="both"/>
        <w:rPr>
          <w:rFonts w:ascii="Arial" w:hAnsi="Arial" w:cs="Arial"/>
          <w:lang w:val="es-AR"/>
        </w:rPr>
      </w:pPr>
      <w:r w:rsidRPr="00ED0CB0">
        <w:rPr>
          <w:rFonts w:ascii="Arial" w:hAnsi="Arial" w:cs="Arial"/>
          <w:lang w:val="es-AR"/>
        </w:rPr>
        <w:t>Finalmente, es importante tener en cuenta que</w:t>
      </w:r>
      <w:r w:rsidR="00AC3494" w:rsidRPr="00ED0CB0">
        <w:rPr>
          <w:rFonts w:ascii="Arial" w:hAnsi="Arial" w:cs="Arial"/>
          <w:lang w:val="es-AR"/>
        </w:rPr>
        <w:t xml:space="preserve"> el riesgo a</w:t>
      </w:r>
      <w:r w:rsidRPr="00ED0CB0">
        <w:rPr>
          <w:rFonts w:ascii="Arial" w:hAnsi="Arial" w:cs="Arial"/>
          <w:lang w:val="es-AR"/>
        </w:rPr>
        <w:t xml:space="preserve"> l</w:t>
      </w:r>
      <w:r w:rsidR="00A017F0" w:rsidRPr="00ED0CB0">
        <w:rPr>
          <w:rFonts w:ascii="Arial" w:hAnsi="Arial" w:cs="Arial"/>
          <w:lang w:val="es-AR"/>
        </w:rPr>
        <w:t>a</w:t>
      </w:r>
      <w:r w:rsidRPr="00ED0CB0">
        <w:rPr>
          <w:rFonts w:ascii="Arial" w:hAnsi="Arial" w:cs="Arial"/>
          <w:lang w:val="es-AR"/>
        </w:rPr>
        <w:t xml:space="preserve"> </w:t>
      </w:r>
      <w:r w:rsidR="00A017F0" w:rsidRPr="00ED0CB0">
        <w:rPr>
          <w:rFonts w:ascii="Arial" w:hAnsi="Arial" w:cs="Arial"/>
          <w:lang w:val="es-AR"/>
        </w:rPr>
        <w:t xml:space="preserve">exposición posible a </w:t>
      </w:r>
      <w:r w:rsidRPr="00ED0CB0">
        <w:rPr>
          <w:rFonts w:ascii="Arial" w:hAnsi="Arial" w:cs="Arial"/>
          <w:lang w:val="es-AR"/>
        </w:rPr>
        <w:t xml:space="preserve">los </w:t>
      </w:r>
      <w:r w:rsidR="00A017F0" w:rsidRPr="00ED0CB0">
        <w:rPr>
          <w:rFonts w:ascii="Arial" w:hAnsi="Arial" w:cs="Arial"/>
          <w:lang w:val="es-AR"/>
        </w:rPr>
        <w:t xml:space="preserve">productos </w:t>
      </w:r>
      <w:r w:rsidRPr="00ED0CB0">
        <w:rPr>
          <w:rFonts w:ascii="Arial" w:hAnsi="Arial" w:cs="Arial"/>
          <w:lang w:val="es-AR"/>
        </w:rPr>
        <w:t>fitosanitarios e</w:t>
      </w:r>
      <w:r w:rsidR="00A017F0" w:rsidRPr="00ED0CB0">
        <w:rPr>
          <w:rFonts w:ascii="Arial" w:hAnsi="Arial" w:cs="Arial"/>
          <w:lang w:val="es-AR"/>
        </w:rPr>
        <w:t>valuados</w:t>
      </w:r>
      <w:r w:rsidRPr="00ED0CB0">
        <w:rPr>
          <w:rFonts w:ascii="Arial" w:hAnsi="Arial" w:cs="Arial"/>
          <w:lang w:val="es-AR"/>
        </w:rPr>
        <w:t xml:space="preserve">, </w:t>
      </w:r>
      <w:r w:rsidR="00A017F0" w:rsidRPr="00ED0CB0">
        <w:rPr>
          <w:rFonts w:ascii="Arial" w:hAnsi="Arial" w:cs="Arial"/>
          <w:lang w:val="es-AR"/>
        </w:rPr>
        <w:t>p</w:t>
      </w:r>
      <w:r w:rsidR="00AC3494" w:rsidRPr="00ED0CB0">
        <w:rPr>
          <w:rFonts w:ascii="Arial" w:hAnsi="Arial" w:cs="Arial"/>
          <w:lang w:val="es-AR"/>
        </w:rPr>
        <w:t xml:space="preserve">odría ser menor al riesgo de la exposición a </w:t>
      </w:r>
      <w:r w:rsidR="00A017F0" w:rsidRPr="00ED0CB0">
        <w:rPr>
          <w:rFonts w:ascii="Arial" w:hAnsi="Arial" w:cs="Arial"/>
          <w:lang w:val="es-AR"/>
        </w:rPr>
        <w:t>otros productos que se encuentran en la misma categoría y que son de uso diario.</w:t>
      </w:r>
      <w:bookmarkStart w:id="0" w:name="_GoBack"/>
      <w:bookmarkEnd w:id="0"/>
    </w:p>
    <w:sectPr w:rsidR="00A017F0" w:rsidRPr="00876FE4" w:rsidSect="00122C65">
      <w:headerReference w:type="default" r:id="rId10"/>
      <w:footerReference w:type="default" r:id="rId11"/>
      <w:pgSz w:w="11900" w:h="16840"/>
      <w:pgMar w:top="3261" w:right="1554" w:bottom="1560" w:left="1701" w:header="0" w:footer="37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5A8" w:rsidRDefault="004D35A8">
      <w:pPr>
        <w:spacing w:after="0"/>
      </w:pPr>
      <w:r>
        <w:separator/>
      </w:r>
    </w:p>
  </w:endnote>
  <w:endnote w:type="continuationSeparator" w:id="0">
    <w:p w:rsidR="004D35A8" w:rsidRDefault="004D35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7B" w:rsidRPr="00570D0B" w:rsidRDefault="005D727B" w:rsidP="00F16276">
    <w:pPr>
      <w:pStyle w:val="Piedepgina"/>
      <w:spacing w:line="360" w:lineRule="auto"/>
      <w:jc w:val="center"/>
      <w:rPr>
        <w:rFonts w:ascii="Arial" w:hAnsi="Arial"/>
        <w:b/>
        <w:color w:val="00B45A"/>
        <w:sz w:val="18"/>
        <w:lang w:val="es-AR"/>
      </w:rPr>
    </w:pPr>
    <w:r w:rsidRPr="00570D0B">
      <w:rPr>
        <w:rFonts w:ascii="Arial" w:hAnsi="Arial"/>
        <w:b/>
        <w:color w:val="00B45A"/>
        <w:sz w:val="18"/>
        <w:lang w:val="es-AR"/>
      </w:rPr>
      <w:t>Cámara de Sanidad Agropecuaria y Fertilizantes</w:t>
    </w:r>
  </w:p>
  <w:p w:rsidR="005D727B" w:rsidRPr="00570D0B" w:rsidRDefault="005D727B" w:rsidP="00F16276">
    <w:pPr>
      <w:pStyle w:val="Piedepgina"/>
      <w:jc w:val="center"/>
      <w:rPr>
        <w:rFonts w:ascii="Arial" w:hAnsi="Arial"/>
        <w:color w:val="8CC83C"/>
        <w:sz w:val="16"/>
        <w:lang w:val="es-AR"/>
      </w:rPr>
    </w:pPr>
    <w:r w:rsidRPr="00570D0B">
      <w:rPr>
        <w:rFonts w:ascii="Arial" w:hAnsi="Arial"/>
        <w:color w:val="8CC83C"/>
        <w:sz w:val="16"/>
        <w:lang w:val="es-AR"/>
      </w:rPr>
      <w:t>Reconquista 661  1ºA (C1003ABM) Ciudad Autónoma de Buenos Aires // Argentina</w:t>
    </w:r>
  </w:p>
  <w:p w:rsidR="005D727B" w:rsidRPr="006A28AC" w:rsidRDefault="005D727B" w:rsidP="00F16276">
    <w:pPr>
      <w:pStyle w:val="Piedepgina"/>
      <w:jc w:val="center"/>
      <w:rPr>
        <w:rFonts w:ascii="Arial" w:hAnsi="Arial"/>
        <w:color w:val="8CC83C"/>
        <w:sz w:val="16"/>
      </w:rPr>
    </w:pPr>
    <w:r w:rsidRPr="006A28AC">
      <w:rPr>
        <w:rFonts w:ascii="Arial" w:hAnsi="Arial"/>
        <w:color w:val="8CC83C"/>
        <w:sz w:val="16"/>
      </w:rPr>
      <w:t xml:space="preserve">Tel.: (+5411) </w:t>
    </w:r>
    <w:r>
      <w:rPr>
        <w:rFonts w:ascii="Arial" w:hAnsi="Arial"/>
        <w:color w:val="8CC83C"/>
        <w:sz w:val="16"/>
      </w:rPr>
      <w:t>4893</w:t>
    </w:r>
    <w:r w:rsidRPr="006A28AC">
      <w:rPr>
        <w:rFonts w:ascii="Arial" w:hAnsi="Arial"/>
        <w:color w:val="8CC83C"/>
        <w:sz w:val="16"/>
      </w:rPr>
      <w:t>.</w:t>
    </w:r>
    <w:r>
      <w:rPr>
        <w:rFonts w:ascii="Arial" w:hAnsi="Arial"/>
        <w:color w:val="8CC83C"/>
        <w:sz w:val="16"/>
      </w:rPr>
      <w:t>7772 // 4893.7773</w:t>
    </w:r>
  </w:p>
  <w:p w:rsidR="005D727B" w:rsidRPr="006A28AC" w:rsidRDefault="005D727B" w:rsidP="00F16276">
    <w:pPr>
      <w:pStyle w:val="Piedepgina"/>
      <w:jc w:val="center"/>
      <w:rPr>
        <w:rFonts w:ascii="Arial" w:hAnsi="Arial"/>
        <w:color w:val="8CC83C"/>
        <w:sz w:val="16"/>
      </w:rPr>
    </w:pPr>
    <w:r w:rsidRPr="006A28AC">
      <w:rPr>
        <w:rFonts w:ascii="Arial" w:hAnsi="Arial"/>
        <w:color w:val="8CC83C"/>
        <w:sz w:val="16"/>
      </w:rPr>
      <w:t>casafe@casafe.org // www.casafe.org</w:t>
    </w:r>
  </w:p>
  <w:p w:rsidR="005D727B" w:rsidRPr="006A28AC" w:rsidRDefault="00342255" w:rsidP="00F16276">
    <w:pPr>
      <w:pStyle w:val="Piedepgina"/>
      <w:jc w:val="center"/>
      <w:rPr>
        <w:rFonts w:ascii="Arial" w:hAnsi="Arial"/>
        <w:color w:val="8CC83C"/>
        <w:sz w:val="16"/>
      </w:rPr>
    </w:pPr>
    <w:r>
      <w:rPr>
        <w:noProof/>
        <w:lang w:val="es-AR" w:eastAsia="es-AR"/>
      </w:rPr>
      <w:drawing>
        <wp:anchor distT="0" distB="0" distL="114300" distR="114300" simplePos="0" relativeHeight="251658240" behindDoc="1" locked="1" layoutInCell="1" allowOverlap="0" wp14:anchorId="0106FCFA" wp14:editId="0423B879">
          <wp:simplePos x="0" y="0"/>
          <wp:positionH relativeFrom="column">
            <wp:posOffset>-1143000</wp:posOffset>
          </wp:positionH>
          <wp:positionV relativeFrom="page">
            <wp:posOffset>10113010</wp:posOffset>
          </wp:positionV>
          <wp:extent cx="7772400" cy="935990"/>
          <wp:effectExtent l="19050" t="0" r="0" b="0"/>
          <wp:wrapNone/>
          <wp:docPr id="1" name="Imagen 6"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pie"/>
                  <pic:cNvPicPr>
                    <a:picLocks noChangeAspect="1" noChangeArrowheads="1"/>
                  </pic:cNvPicPr>
                </pic:nvPicPr>
                <pic:blipFill>
                  <a:blip r:embed="rId1"/>
                  <a:srcRect/>
                  <a:stretch>
                    <a:fillRect/>
                  </a:stretch>
                </pic:blipFill>
                <pic:spPr bwMode="auto">
                  <a:xfrm>
                    <a:off x="0" y="0"/>
                    <a:ext cx="7772400" cy="93599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5A8" w:rsidRDefault="004D35A8">
      <w:pPr>
        <w:spacing w:after="0"/>
      </w:pPr>
      <w:r>
        <w:separator/>
      </w:r>
    </w:p>
  </w:footnote>
  <w:footnote w:type="continuationSeparator" w:id="0">
    <w:p w:rsidR="004D35A8" w:rsidRDefault="004D35A8">
      <w:pPr>
        <w:spacing w:after="0"/>
      </w:pPr>
      <w:r>
        <w:continuationSeparator/>
      </w:r>
    </w:p>
  </w:footnote>
  <w:footnote w:id="1">
    <w:p w:rsidR="00374B54" w:rsidRPr="00327AC6" w:rsidRDefault="00374B54">
      <w:pPr>
        <w:pStyle w:val="Textonotapie"/>
      </w:pPr>
      <w:r>
        <w:rPr>
          <w:rStyle w:val="Refdenotaalpie"/>
        </w:rPr>
        <w:footnoteRef/>
      </w:r>
      <w:r>
        <w:t xml:space="preserve"> </w:t>
      </w:r>
      <w:r w:rsidRPr="00327AC6">
        <w:t xml:space="preserve"> IARC Pr</w:t>
      </w:r>
      <w:r w:rsidR="00327AC6" w:rsidRPr="00327AC6">
        <w:t>e</w:t>
      </w:r>
      <w:r w:rsidRPr="00327AC6">
        <w:t>amble</w:t>
      </w:r>
      <w:r w:rsidR="00327AC6" w:rsidRPr="00327AC6">
        <w:t xml:space="preserve">, 2006; </w:t>
      </w:r>
      <w:hyperlink r:id="rId1" w:history="1">
        <w:r w:rsidR="00327AC6" w:rsidRPr="00FD2EE6">
          <w:rPr>
            <w:rStyle w:val="Hipervnculo"/>
          </w:rPr>
          <w:t>http://monographs.iarc.fr/ENG/Preamble/CurrentPreamble.pdf</w:t>
        </w:r>
      </w:hyperlink>
      <w:r w:rsidR="00327AC6">
        <w:t xml:space="preserve"> </w:t>
      </w:r>
    </w:p>
  </w:footnote>
  <w:footnote w:id="2">
    <w:p w:rsidR="00342255" w:rsidRPr="00327AC6" w:rsidRDefault="00342255">
      <w:pPr>
        <w:pStyle w:val="Textonotapie"/>
      </w:pPr>
      <w:r w:rsidRPr="00500A40">
        <w:rPr>
          <w:rStyle w:val="Refdenotaalpie"/>
          <w:rFonts w:ascii="Arial" w:hAnsi="Arial" w:cs="Arial"/>
          <w:b/>
        </w:rPr>
        <w:footnoteRef/>
      </w:r>
      <w:r w:rsidRPr="00327AC6">
        <w:rPr>
          <w:rFonts w:ascii="Arial" w:hAnsi="Arial" w:cs="Arial"/>
        </w:rPr>
        <w:t xml:space="preserve"> </w:t>
      </w:r>
      <w:r w:rsidR="00327AC6" w:rsidRPr="00327AC6">
        <w:rPr>
          <w:rFonts w:ascii="Arial" w:hAnsi="Arial" w:cs="Arial"/>
        </w:rPr>
        <w:t>The Lancet</w:t>
      </w:r>
      <w:r w:rsidR="00327AC6" w:rsidRPr="00AA29A8">
        <w:rPr>
          <w:rFonts w:ascii="Arial" w:hAnsi="Arial" w:cs="Arial"/>
        </w:rPr>
        <w:t xml:space="preserve">, </w:t>
      </w:r>
      <w:r w:rsidR="00ED0CB0" w:rsidRPr="00ED0CB0">
        <w:rPr>
          <w:rFonts w:ascii="Arial" w:hAnsi="Arial" w:cs="Arial"/>
        </w:rPr>
        <w:t>Volume 16, No. 5, p490–491, May 2015</w:t>
      </w:r>
      <w:r w:rsidRPr="002F4B20">
        <w:rPr>
          <w:rFonts w:ascii="Arial" w:hAnsi="Arial" w:cs="Arial"/>
        </w:rPr>
        <w:t>,</w:t>
      </w:r>
      <w:r w:rsidRPr="00AA29A8">
        <w:rPr>
          <w:rFonts w:ascii="Arial" w:hAnsi="Arial" w:cs="Arial"/>
        </w:rPr>
        <w:t xml:space="preserve"> </w:t>
      </w:r>
      <w:hyperlink r:id="rId2" w:history="1">
        <w:r w:rsidR="00327AC6" w:rsidRPr="00FD2EE6">
          <w:rPr>
            <w:rStyle w:val="Hipervnculo"/>
          </w:rPr>
          <w:t>http://www.thelancet.com/pdfs/journals/lanonc/PIIS1470-2045%2815%2970134-8.pdf</w:t>
        </w:r>
      </w:hyperlink>
      <w:r w:rsidR="00327AC6">
        <w:t xml:space="preserve"> </w:t>
      </w:r>
    </w:p>
  </w:footnote>
  <w:footnote w:id="3">
    <w:p w:rsidR="007D7DEE" w:rsidRPr="00433F51" w:rsidRDefault="007D7DEE">
      <w:pPr>
        <w:pStyle w:val="Textonotapie"/>
        <w:rPr>
          <w:rFonts w:ascii="Arial" w:hAnsi="Arial" w:cs="Arial"/>
        </w:rPr>
      </w:pPr>
      <w:r w:rsidRPr="00500A40">
        <w:rPr>
          <w:rStyle w:val="Refdenotaalpie"/>
          <w:b/>
        </w:rPr>
        <w:footnoteRef/>
      </w:r>
      <w:r>
        <w:t xml:space="preserve"> </w:t>
      </w:r>
      <w:r w:rsidR="00327AC6" w:rsidRPr="00327AC6">
        <w:rPr>
          <w:rFonts w:ascii="Arial" w:hAnsi="Arial" w:cs="Arial"/>
        </w:rPr>
        <w:t xml:space="preserve">IARC, Current </w:t>
      </w:r>
      <w:r w:rsidR="009A09EF" w:rsidRPr="00433F51">
        <w:rPr>
          <w:rFonts w:ascii="Arial" w:hAnsi="Arial" w:cs="Arial"/>
        </w:rPr>
        <w:t>Preamble</w:t>
      </w:r>
      <w:r w:rsidR="00327AC6" w:rsidRPr="00433F51">
        <w:rPr>
          <w:rFonts w:ascii="Arial" w:hAnsi="Arial" w:cs="Arial"/>
        </w:rPr>
        <w:t>, page 19.</w:t>
      </w:r>
      <w:r w:rsidR="009A09EF" w:rsidRPr="00433F51">
        <w:rPr>
          <w:rFonts w:ascii="Arial" w:hAnsi="Arial" w:cs="Arial"/>
        </w:rPr>
        <w:t xml:space="preserve"> </w:t>
      </w:r>
    </w:p>
  </w:footnote>
  <w:footnote w:id="4">
    <w:p w:rsidR="006914A4" w:rsidRPr="00327AC6" w:rsidRDefault="00AA43E7" w:rsidP="006914A4">
      <w:pPr>
        <w:tabs>
          <w:tab w:val="left" w:pos="1080"/>
        </w:tabs>
        <w:spacing w:before="120"/>
        <w:jc w:val="both"/>
        <w:rPr>
          <w:rFonts w:ascii="Arial" w:eastAsia="Times New Roman" w:hAnsi="Arial" w:cs="Arial"/>
          <w:sz w:val="20"/>
          <w:szCs w:val="20"/>
        </w:rPr>
      </w:pPr>
      <w:r w:rsidRPr="00500A40">
        <w:rPr>
          <w:rStyle w:val="Refdenotaalpie"/>
          <w:rFonts w:ascii="Arial" w:hAnsi="Arial" w:cs="Arial"/>
          <w:b/>
          <w:sz w:val="20"/>
          <w:szCs w:val="20"/>
        </w:rPr>
        <w:footnoteRef/>
      </w:r>
      <w:r w:rsidRPr="00327AC6">
        <w:rPr>
          <w:rFonts w:ascii="Arial" w:hAnsi="Arial" w:cs="Arial"/>
          <w:sz w:val="20"/>
          <w:szCs w:val="20"/>
        </w:rPr>
        <w:t xml:space="preserve"> </w:t>
      </w:r>
      <w:r w:rsidR="006914A4" w:rsidRPr="00327AC6">
        <w:rPr>
          <w:rFonts w:ascii="Arial" w:eastAsia="Times New Roman" w:hAnsi="Arial" w:cs="Arial"/>
          <w:sz w:val="20"/>
          <w:szCs w:val="20"/>
        </w:rPr>
        <w:t>JMPR (WHO/FAO)</w:t>
      </w:r>
      <w:r w:rsidR="00AA29A8">
        <w:rPr>
          <w:rFonts w:ascii="Arial" w:eastAsia="Times New Roman" w:hAnsi="Arial" w:cs="Arial"/>
          <w:sz w:val="20"/>
          <w:szCs w:val="20"/>
        </w:rPr>
        <w:t>. </w:t>
      </w:r>
      <w:r w:rsidR="006914A4" w:rsidRPr="00327AC6">
        <w:rPr>
          <w:rFonts w:ascii="Arial" w:eastAsia="Times New Roman" w:hAnsi="Arial" w:cs="Arial"/>
          <w:sz w:val="20"/>
          <w:szCs w:val="20"/>
        </w:rPr>
        <w:t xml:space="preserve">2004. Pesticide Residues in Food. Report of the Joint Meeting of the FAO Panel of Experts on Pesticide Residues in Food and the Environment and the WHO Core Assessment Group on Pesticide Residues. FAO Plant Production and Protection Paper 178, Glyphosate Dietary Risk Assessment: 98-103. Rome, Italy 20-29 September 2004. </w:t>
      </w:r>
    </w:p>
    <w:p w:rsidR="006914A4" w:rsidRPr="00327AC6" w:rsidRDefault="00AA29A8" w:rsidP="006914A4">
      <w:pPr>
        <w:spacing w:before="100" w:beforeAutospacing="1" w:after="100" w:afterAutospacing="1"/>
        <w:jc w:val="both"/>
        <w:rPr>
          <w:rFonts w:ascii="Arial" w:eastAsia="Times New Roman" w:hAnsi="Arial" w:cs="Arial"/>
          <w:sz w:val="20"/>
          <w:szCs w:val="20"/>
        </w:rPr>
      </w:pPr>
      <w:r>
        <w:rPr>
          <w:rFonts w:ascii="Arial" w:eastAsia="Times New Roman" w:hAnsi="Arial" w:cs="Arial"/>
          <w:sz w:val="20"/>
          <w:szCs w:val="20"/>
        </w:rPr>
        <w:t>JMPR (WHO/FAO). 2004. </w:t>
      </w:r>
      <w:r w:rsidR="006914A4" w:rsidRPr="00327AC6">
        <w:rPr>
          <w:rFonts w:ascii="Arial" w:eastAsia="Times New Roman" w:hAnsi="Arial" w:cs="Arial"/>
          <w:sz w:val="20"/>
          <w:szCs w:val="20"/>
        </w:rPr>
        <w:t xml:space="preserve">Pesticide Residues in Food.  Report of the Joint Meeting of the FAO Panel of Experts on Pesticide Residues in Food and the Environment and the WHO Core Assessment Group. Part II-Toxicology, Glyphosate: 96-169.  Rome, Italy 20-29 September 2004. </w:t>
      </w:r>
      <w:hyperlink r:id="rId3" w:history="1">
        <w:r w:rsidR="006914A4" w:rsidRPr="00327AC6">
          <w:rPr>
            <w:rStyle w:val="Hipervnculo"/>
            <w:rFonts w:ascii="Arial" w:hAnsi="Arial" w:cs="Arial"/>
            <w:sz w:val="20"/>
            <w:szCs w:val="20"/>
          </w:rPr>
          <w:t>http://www.inchem.org/documents/jmpr/jmpmono/v2004pr01.pdf</w:t>
        </w:r>
      </w:hyperlink>
    </w:p>
    <w:p w:rsidR="00327AC6" w:rsidRDefault="00327AC6">
      <w:pPr>
        <w:pStyle w:val="Textonotapie"/>
        <w:rPr>
          <w:rFonts w:ascii="Arial" w:hAnsi="Arial" w:cs="Arial"/>
        </w:rPr>
      </w:pPr>
    </w:p>
    <w:p w:rsidR="00567E4E" w:rsidRPr="00433F51" w:rsidRDefault="00567E4E">
      <w:pPr>
        <w:pStyle w:val="Textonotapie"/>
        <w:rPr>
          <w:rFonts w:ascii="Arial" w:hAnsi="Arial" w:cs="Arial"/>
        </w:rPr>
      </w:pPr>
    </w:p>
    <w:p w:rsidR="00500A40" w:rsidRDefault="002F4B20" w:rsidP="00500A40">
      <w:pPr>
        <w:pStyle w:val="Textonotapie"/>
        <w:spacing w:after="0"/>
        <w:jc w:val="both"/>
        <w:rPr>
          <w:rFonts w:ascii="Arial" w:hAnsi="Arial" w:cs="Arial"/>
        </w:rPr>
      </w:pPr>
      <w:r w:rsidRPr="00500A40">
        <w:rPr>
          <w:rFonts w:ascii="Arial" w:hAnsi="Arial" w:cs="Arial"/>
          <w:b/>
          <w:i/>
          <w:vertAlign w:val="superscript"/>
        </w:rPr>
        <w:t>5</w:t>
      </w:r>
      <w:r w:rsidRPr="00500A40">
        <w:rPr>
          <w:rFonts w:ascii="Arial" w:hAnsi="Arial" w:cs="Arial"/>
          <w:i/>
        </w:rPr>
        <w:t xml:space="preserve"> </w:t>
      </w:r>
      <w:r w:rsidR="00145D45" w:rsidRPr="00500A40">
        <w:rPr>
          <w:rFonts w:ascii="Arial" w:hAnsi="Arial" w:cs="Arial"/>
          <w:i/>
        </w:rPr>
        <w:t>FAO Plant Production and Protection Paper, 176, 2004 - Pesticide residues in food - 2003</w:t>
      </w:r>
      <w:r w:rsidR="00145D45" w:rsidRPr="00500A40">
        <w:rPr>
          <w:rFonts w:ascii="Arial" w:hAnsi="Arial" w:cs="Arial"/>
        </w:rPr>
        <w:t xml:space="preserve">. </w:t>
      </w:r>
      <w:proofErr w:type="gramStart"/>
      <w:r w:rsidR="00145D45" w:rsidRPr="00500A40">
        <w:rPr>
          <w:rFonts w:ascii="Arial" w:hAnsi="Arial" w:cs="Arial"/>
        </w:rPr>
        <w:t>Report of the Joint Meeting of the FAO Panel of Experts on Pesticide Residues in Food and the Environment and the WHO Core Assessment Group</w:t>
      </w:r>
      <w:r w:rsidR="00145D45" w:rsidRPr="00500A40">
        <w:rPr>
          <w:rFonts w:ascii="Arial" w:hAnsi="Arial" w:cs="Arial"/>
        </w:rPr>
        <w:t>.</w:t>
      </w:r>
      <w:proofErr w:type="gramEnd"/>
    </w:p>
    <w:p w:rsidR="002F4B20" w:rsidRPr="00500A40" w:rsidRDefault="002F4B20" w:rsidP="00500A40">
      <w:pPr>
        <w:pStyle w:val="Textonotapie"/>
        <w:jc w:val="both"/>
        <w:rPr>
          <w:rFonts w:ascii="Arial" w:hAnsi="Arial" w:cs="Arial"/>
        </w:rPr>
      </w:pPr>
      <w:r w:rsidRPr="00500A40">
        <w:rPr>
          <w:rFonts w:ascii="Arial" w:hAnsi="Arial" w:cs="Arial"/>
        </w:rPr>
        <w:t>http://www.fao.org/fileadmin/templates/agphome/documents/Pests_Pesticides/JMPR/Reports_1991-2006/Report_2003.pdf</w:t>
      </w:r>
    </w:p>
    <w:p w:rsidR="00ED0CB0" w:rsidRPr="00327AC6" w:rsidRDefault="00ED0CB0" w:rsidP="00ED0CB0">
      <w:pPr>
        <w:pStyle w:val="Textonotapie"/>
        <w:rPr>
          <w:rFonts w:ascii="Arial" w:hAnsi="Arial" w:cs="Arial"/>
          <w:lang w:val="es-AR"/>
        </w:rPr>
      </w:pPr>
      <w:r w:rsidRPr="00ED0CB0">
        <w:rPr>
          <w:rFonts w:ascii="Arial" w:hAnsi="Arial" w:cs="Arial"/>
          <w:b/>
          <w:vertAlign w:val="superscript"/>
          <w:lang w:val="es-MX"/>
        </w:rPr>
        <w:t>6</w:t>
      </w:r>
      <w:r>
        <w:rPr>
          <w:rFonts w:ascii="Arial" w:hAnsi="Arial" w:cs="Arial"/>
          <w:lang w:val="es-MX"/>
        </w:rPr>
        <w:t xml:space="preserve"> </w:t>
      </w:r>
      <w:r w:rsidRPr="00327AC6">
        <w:rPr>
          <w:rFonts w:ascii="Arial" w:hAnsi="Arial" w:cs="Arial"/>
          <w:lang w:val="es-MX"/>
        </w:rPr>
        <w:t>“</w:t>
      </w:r>
      <w:r w:rsidRPr="00327AC6">
        <w:rPr>
          <w:rFonts w:ascii="Arial" w:hAnsi="Arial" w:cs="Arial"/>
          <w:lang w:val="es-ES"/>
        </w:rPr>
        <w:t>La EPA ha llegado a la conclusión de que el glifosato no representa un riesgo de cáncer para los humanos</w:t>
      </w:r>
      <w:r w:rsidRPr="00327AC6">
        <w:rPr>
          <w:rFonts w:ascii="Arial" w:hAnsi="Arial" w:cs="Arial"/>
          <w:lang w:val="es-MX"/>
        </w:rPr>
        <w:t xml:space="preserve">.” </w:t>
      </w:r>
      <w:r w:rsidRPr="00327AC6">
        <w:rPr>
          <w:rFonts w:ascii="Arial" w:hAnsi="Arial" w:cs="Arial"/>
          <w:i/>
          <w:iCs/>
          <w:lang w:val="es-MX"/>
        </w:rPr>
        <w:t xml:space="preserve">2013 Federal </w:t>
      </w:r>
      <w:proofErr w:type="spellStart"/>
      <w:r w:rsidRPr="00327AC6">
        <w:rPr>
          <w:rFonts w:ascii="Arial" w:hAnsi="Arial" w:cs="Arial"/>
          <w:i/>
          <w:iCs/>
          <w:lang w:val="es-MX"/>
        </w:rPr>
        <w:t>Register</w:t>
      </w:r>
      <w:proofErr w:type="spellEnd"/>
      <w:r w:rsidRPr="00327AC6">
        <w:rPr>
          <w:rFonts w:ascii="Arial" w:hAnsi="Arial" w:cs="Arial"/>
          <w:i/>
          <w:iCs/>
          <w:lang w:val="es-MX"/>
        </w:rPr>
        <w:t xml:space="preserve"> </w:t>
      </w:r>
      <w:proofErr w:type="spellStart"/>
      <w:r w:rsidRPr="00327AC6">
        <w:rPr>
          <w:rFonts w:ascii="Arial" w:hAnsi="Arial" w:cs="Arial"/>
          <w:i/>
          <w:iCs/>
          <w:lang w:val="es-MX"/>
        </w:rPr>
        <w:t>Notice</w:t>
      </w:r>
      <w:proofErr w:type="spellEnd"/>
      <w:r w:rsidRPr="00327AC6">
        <w:rPr>
          <w:rFonts w:ascii="Arial" w:hAnsi="Arial" w:cs="Arial"/>
          <w:i/>
          <w:iCs/>
          <w:lang w:val="es-MX"/>
        </w:rPr>
        <w:t xml:space="preserve"> (FR 25396, Vol. 78, No. 84, </w:t>
      </w:r>
      <w:proofErr w:type="spellStart"/>
      <w:r w:rsidRPr="00327AC6">
        <w:rPr>
          <w:rFonts w:ascii="Arial" w:hAnsi="Arial" w:cs="Arial"/>
          <w:i/>
          <w:iCs/>
          <w:lang w:val="es-MX"/>
        </w:rPr>
        <w:t>May</w:t>
      </w:r>
      <w:proofErr w:type="spellEnd"/>
      <w:r w:rsidRPr="00327AC6">
        <w:rPr>
          <w:rFonts w:ascii="Arial" w:hAnsi="Arial" w:cs="Arial"/>
          <w:i/>
          <w:iCs/>
          <w:lang w:val="es-MX"/>
        </w:rPr>
        <w:t xml:space="preserve"> 1, 2013).</w:t>
      </w:r>
    </w:p>
    <w:p w:rsidR="00ED0CB0" w:rsidRPr="00ED0CB0" w:rsidRDefault="00ED0CB0" w:rsidP="00ED0CB0">
      <w:pPr>
        <w:pStyle w:val="Textonotapie"/>
      </w:pPr>
      <w:r w:rsidRPr="00ED0CB0">
        <w:rPr>
          <w:rStyle w:val="Refdenotaalpie"/>
          <w:lang w:val="es-AR"/>
        </w:rPr>
        <w:t>7</w:t>
      </w:r>
      <w:r w:rsidRPr="006914A4">
        <w:rPr>
          <w:lang w:val="es-AR"/>
        </w:rPr>
        <w:t xml:space="preserve"> </w:t>
      </w:r>
      <w:r w:rsidRPr="00327AC6">
        <w:rPr>
          <w:rFonts w:ascii="Arial" w:hAnsi="Arial" w:cs="Arial"/>
          <w:lang w:val="es-MX"/>
        </w:rPr>
        <w:t>“</w:t>
      </w:r>
      <w:r w:rsidRPr="00327AC6">
        <w:rPr>
          <w:rFonts w:ascii="Arial" w:hAnsi="Arial" w:cs="Arial"/>
          <w:lang w:val="es-ES"/>
        </w:rPr>
        <w:t>En los estudios epidemiológicos en humanos, no hubo evidencia de carcinogenicidad y no hubo efectos sobre la fertilidad, reproducción y desarrollo de neurotoxicidad que puedan ser atribuidos a glifosato</w:t>
      </w:r>
      <w:r w:rsidRPr="00327AC6">
        <w:rPr>
          <w:rFonts w:ascii="Arial" w:hAnsi="Arial" w:cs="Arial"/>
          <w:lang w:val="es-MX"/>
        </w:rPr>
        <w:t xml:space="preserve">.” </w:t>
      </w:r>
      <w:r w:rsidRPr="00ED0CB0">
        <w:rPr>
          <w:rFonts w:ascii="Arial" w:hAnsi="Arial" w:cs="Arial"/>
          <w:i/>
          <w:iCs/>
        </w:rPr>
        <w:t>Glyphosate Reevaluation Assessment Report, Germany Rapporteur Member State for the European Annex I Renewal of Glyphosate (2014)</w:t>
      </w:r>
    </w:p>
    <w:p w:rsidR="00AA43E7" w:rsidRPr="00ED0CB0" w:rsidRDefault="00ED0CB0" w:rsidP="00500A40">
      <w:pPr>
        <w:pStyle w:val="Textonotapie"/>
        <w:spacing w:after="0"/>
        <w:jc w:val="both"/>
        <w:rPr>
          <w:rFonts w:ascii="Arial" w:hAnsi="Arial" w:cs="Arial"/>
        </w:rPr>
      </w:pPr>
      <w:r w:rsidRPr="00ED0CB0">
        <w:rPr>
          <w:rFonts w:ascii="Arial" w:hAnsi="Arial" w:cs="Arial"/>
          <w:vertAlign w:val="superscript"/>
        </w:rPr>
        <w:t>8</w:t>
      </w:r>
      <w:r w:rsidR="006914A4" w:rsidRPr="00500A40">
        <w:rPr>
          <w:rFonts w:ascii="Arial" w:hAnsi="Arial" w:cs="Arial"/>
        </w:rPr>
        <w:t xml:space="preserve"> </w:t>
      </w:r>
      <w:r w:rsidRPr="00ED0CB0">
        <w:rPr>
          <w:rFonts w:ascii="Arial" w:hAnsi="Arial" w:cs="Arial"/>
          <w:i/>
          <w:iCs/>
        </w:rPr>
        <w:t xml:space="preserve">World Health </w:t>
      </w:r>
      <w:proofErr w:type="gramStart"/>
      <w:r w:rsidRPr="00ED0CB0">
        <w:rPr>
          <w:rFonts w:ascii="Arial" w:hAnsi="Arial" w:cs="Arial"/>
          <w:i/>
          <w:iCs/>
        </w:rPr>
        <w:t>Organization</w:t>
      </w:r>
      <w:proofErr w:type="gramEnd"/>
      <w:r w:rsidRPr="00ED0CB0">
        <w:rPr>
          <w:rFonts w:ascii="Arial" w:hAnsi="Arial" w:cs="Arial"/>
          <w:i/>
          <w:iCs/>
        </w:rPr>
        <w:t xml:space="preserve"> (WHO). 2005. Glyphosate and AMPA in Drinking-water. </w:t>
      </w:r>
      <w:proofErr w:type="gramStart"/>
      <w:r w:rsidRPr="00ED0CB0">
        <w:rPr>
          <w:rFonts w:ascii="Arial" w:hAnsi="Arial" w:cs="Arial"/>
          <w:i/>
          <w:iCs/>
        </w:rPr>
        <w:t>Background document for development of WHO Guidelines for Drinking-water Quality.</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7B" w:rsidRDefault="00342255" w:rsidP="00F16276">
    <w:pPr>
      <w:pStyle w:val="Encabezado"/>
    </w:pPr>
    <w:r>
      <w:rPr>
        <w:noProof/>
        <w:lang w:val="es-AR" w:eastAsia="es-AR"/>
      </w:rPr>
      <w:drawing>
        <wp:anchor distT="0" distB="0" distL="114300" distR="114300" simplePos="0" relativeHeight="251657216" behindDoc="1" locked="0" layoutInCell="1" allowOverlap="1" wp14:anchorId="4345B4CC" wp14:editId="6435DA5D">
          <wp:simplePos x="0" y="0"/>
          <wp:positionH relativeFrom="column">
            <wp:posOffset>-1143000</wp:posOffset>
          </wp:positionH>
          <wp:positionV relativeFrom="paragraph">
            <wp:posOffset>0</wp:posOffset>
          </wp:positionV>
          <wp:extent cx="7543800" cy="1757680"/>
          <wp:effectExtent l="19050" t="0" r="0" b="0"/>
          <wp:wrapNone/>
          <wp:docPr id="2" name="Imagen 1"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ncabezado.jpg"/>
                  <pic:cNvPicPr>
                    <a:picLocks noChangeAspect="1" noChangeArrowheads="1"/>
                  </pic:cNvPicPr>
                </pic:nvPicPr>
                <pic:blipFill>
                  <a:blip r:embed="rId1"/>
                  <a:srcRect/>
                  <a:stretch>
                    <a:fillRect/>
                  </a:stretch>
                </pic:blipFill>
                <pic:spPr bwMode="auto">
                  <a:xfrm>
                    <a:off x="0" y="0"/>
                    <a:ext cx="7543800" cy="1757680"/>
                  </a:xfrm>
                  <a:prstGeom prst="rect">
                    <a:avLst/>
                  </a:prstGeom>
                  <a:noFill/>
                  <a:ln w="9525">
                    <a:noFill/>
                    <a:miter lim="800000"/>
                    <a:headEnd/>
                    <a:tailEnd/>
                  </a:ln>
                </pic:spPr>
              </pic:pic>
            </a:graphicData>
          </a:graphic>
        </wp:anchor>
      </w:drawing>
    </w:r>
    <w:r w:rsidR="005D727B">
      <w:rPr>
        <w:noProof/>
        <w:lang w:val="es-ES_tradnl" w:eastAsia="es-ES_tradnl"/>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3845"/>
    <w:multiLevelType w:val="hybridMultilevel"/>
    <w:tmpl w:val="E78EEC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FE15970"/>
    <w:multiLevelType w:val="hybridMultilevel"/>
    <w:tmpl w:val="241A53A0"/>
    <w:lvl w:ilvl="0" w:tplc="46D27A66">
      <w:numFmt w:val="bullet"/>
      <w:lvlText w:val="•"/>
      <w:lvlJc w:val="left"/>
      <w:pPr>
        <w:ind w:left="1065" w:hanging="705"/>
      </w:pPr>
      <w:rPr>
        <w:rFonts w:ascii="Arial" w:eastAsia="Cambria"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E4A454E"/>
    <w:multiLevelType w:val="hybridMultilevel"/>
    <w:tmpl w:val="EA5C82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6803808"/>
    <w:multiLevelType w:val="hybridMultilevel"/>
    <w:tmpl w:val="B25C288E"/>
    <w:lvl w:ilvl="0" w:tplc="5DBC7426">
      <w:start w:val="1"/>
      <w:numFmt w:val="bullet"/>
      <w:lvlText w:val="•"/>
      <w:lvlJc w:val="left"/>
      <w:pPr>
        <w:tabs>
          <w:tab w:val="num" w:pos="720"/>
        </w:tabs>
        <w:ind w:left="720" w:hanging="360"/>
      </w:pPr>
      <w:rPr>
        <w:rFonts w:ascii="Arial" w:hAnsi="Arial" w:hint="default"/>
      </w:rPr>
    </w:lvl>
    <w:lvl w:ilvl="1" w:tplc="3C8C3A5A" w:tentative="1">
      <w:start w:val="1"/>
      <w:numFmt w:val="bullet"/>
      <w:lvlText w:val="•"/>
      <w:lvlJc w:val="left"/>
      <w:pPr>
        <w:tabs>
          <w:tab w:val="num" w:pos="1440"/>
        </w:tabs>
        <w:ind w:left="1440" w:hanging="360"/>
      </w:pPr>
      <w:rPr>
        <w:rFonts w:ascii="Arial" w:hAnsi="Arial" w:hint="default"/>
      </w:rPr>
    </w:lvl>
    <w:lvl w:ilvl="2" w:tplc="EFC030B0" w:tentative="1">
      <w:start w:val="1"/>
      <w:numFmt w:val="bullet"/>
      <w:lvlText w:val="•"/>
      <w:lvlJc w:val="left"/>
      <w:pPr>
        <w:tabs>
          <w:tab w:val="num" w:pos="2160"/>
        </w:tabs>
        <w:ind w:left="2160" w:hanging="360"/>
      </w:pPr>
      <w:rPr>
        <w:rFonts w:ascii="Arial" w:hAnsi="Arial" w:hint="default"/>
      </w:rPr>
    </w:lvl>
    <w:lvl w:ilvl="3" w:tplc="53E25F76" w:tentative="1">
      <w:start w:val="1"/>
      <w:numFmt w:val="bullet"/>
      <w:lvlText w:val="•"/>
      <w:lvlJc w:val="left"/>
      <w:pPr>
        <w:tabs>
          <w:tab w:val="num" w:pos="2880"/>
        </w:tabs>
        <w:ind w:left="2880" w:hanging="360"/>
      </w:pPr>
      <w:rPr>
        <w:rFonts w:ascii="Arial" w:hAnsi="Arial" w:hint="default"/>
      </w:rPr>
    </w:lvl>
    <w:lvl w:ilvl="4" w:tplc="9FF4F3EC" w:tentative="1">
      <w:start w:val="1"/>
      <w:numFmt w:val="bullet"/>
      <w:lvlText w:val="•"/>
      <w:lvlJc w:val="left"/>
      <w:pPr>
        <w:tabs>
          <w:tab w:val="num" w:pos="3600"/>
        </w:tabs>
        <w:ind w:left="3600" w:hanging="360"/>
      </w:pPr>
      <w:rPr>
        <w:rFonts w:ascii="Arial" w:hAnsi="Arial" w:hint="default"/>
      </w:rPr>
    </w:lvl>
    <w:lvl w:ilvl="5" w:tplc="3A1A5AFE" w:tentative="1">
      <w:start w:val="1"/>
      <w:numFmt w:val="bullet"/>
      <w:lvlText w:val="•"/>
      <w:lvlJc w:val="left"/>
      <w:pPr>
        <w:tabs>
          <w:tab w:val="num" w:pos="4320"/>
        </w:tabs>
        <w:ind w:left="4320" w:hanging="360"/>
      </w:pPr>
      <w:rPr>
        <w:rFonts w:ascii="Arial" w:hAnsi="Arial" w:hint="default"/>
      </w:rPr>
    </w:lvl>
    <w:lvl w:ilvl="6" w:tplc="493A8D1A" w:tentative="1">
      <w:start w:val="1"/>
      <w:numFmt w:val="bullet"/>
      <w:lvlText w:val="•"/>
      <w:lvlJc w:val="left"/>
      <w:pPr>
        <w:tabs>
          <w:tab w:val="num" w:pos="5040"/>
        </w:tabs>
        <w:ind w:left="5040" w:hanging="360"/>
      </w:pPr>
      <w:rPr>
        <w:rFonts w:ascii="Arial" w:hAnsi="Arial" w:hint="default"/>
      </w:rPr>
    </w:lvl>
    <w:lvl w:ilvl="7" w:tplc="9B3CF250" w:tentative="1">
      <w:start w:val="1"/>
      <w:numFmt w:val="bullet"/>
      <w:lvlText w:val="•"/>
      <w:lvlJc w:val="left"/>
      <w:pPr>
        <w:tabs>
          <w:tab w:val="num" w:pos="5760"/>
        </w:tabs>
        <w:ind w:left="5760" w:hanging="360"/>
      </w:pPr>
      <w:rPr>
        <w:rFonts w:ascii="Arial" w:hAnsi="Arial" w:hint="default"/>
      </w:rPr>
    </w:lvl>
    <w:lvl w:ilvl="8" w:tplc="8A8C9E5E" w:tentative="1">
      <w:start w:val="1"/>
      <w:numFmt w:val="bullet"/>
      <w:lvlText w:val="•"/>
      <w:lvlJc w:val="left"/>
      <w:pPr>
        <w:tabs>
          <w:tab w:val="num" w:pos="6480"/>
        </w:tabs>
        <w:ind w:left="6480" w:hanging="360"/>
      </w:pPr>
      <w:rPr>
        <w:rFonts w:ascii="Arial" w:hAnsi="Arial" w:hint="default"/>
      </w:rPr>
    </w:lvl>
  </w:abstractNum>
  <w:abstractNum w:abstractNumId="4">
    <w:nsid w:val="27C747A0"/>
    <w:multiLevelType w:val="hybridMultilevel"/>
    <w:tmpl w:val="747E747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DCB7B62"/>
    <w:multiLevelType w:val="hybridMultilevel"/>
    <w:tmpl w:val="6FB029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030711B"/>
    <w:multiLevelType w:val="hybridMultilevel"/>
    <w:tmpl w:val="3FF8A1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74815AE"/>
    <w:multiLevelType w:val="hybridMultilevel"/>
    <w:tmpl w:val="B6100186"/>
    <w:lvl w:ilvl="0" w:tplc="B75AA3E4">
      <w:start w:val="1"/>
      <w:numFmt w:val="bullet"/>
      <w:lvlText w:val="•"/>
      <w:lvlJc w:val="left"/>
      <w:pPr>
        <w:tabs>
          <w:tab w:val="num" w:pos="720"/>
        </w:tabs>
        <w:ind w:left="720" w:hanging="360"/>
      </w:pPr>
      <w:rPr>
        <w:rFonts w:ascii="Times New Roman" w:hAnsi="Times New Roman" w:hint="default"/>
      </w:rPr>
    </w:lvl>
    <w:lvl w:ilvl="1" w:tplc="051097AC" w:tentative="1">
      <w:start w:val="1"/>
      <w:numFmt w:val="bullet"/>
      <w:lvlText w:val="•"/>
      <w:lvlJc w:val="left"/>
      <w:pPr>
        <w:tabs>
          <w:tab w:val="num" w:pos="1440"/>
        </w:tabs>
        <w:ind w:left="1440" w:hanging="360"/>
      </w:pPr>
      <w:rPr>
        <w:rFonts w:ascii="Times New Roman" w:hAnsi="Times New Roman" w:hint="default"/>
      </w:rPr>
    </w:lvl>
    <w:lvl w:ilvl="2" w:tplc="355C7A84" w:tentative="1">
      <w:start w:val="1"/>
      <w:numFmt w:val="bullet"/>
      <w:lvlText w:val="•"/>
      <w:lvlJc w:val="left"/>
      <w:pPr>
        <w:tabs>
          <w:tab w:val="num" w:pos="2160"/>
        </w:tabs>
        <w:ind w:left="2160" w:hanging="360"/>
      </w:pPr>
      <w:rPr>
        <w:rFonts w:ascii="Times New Roman" w:hAnsi="Times New Roman" w:hint="default"/>
      </w:rPr>
    </w:lvl>
    <w:lvl w:ilvl="3" w:tplc="9ECA1D34" w:tentative="1">
      <w:start w:val="1"/>
      <w:numFmt w:val="bullet"/>
      <w:lvlText w:val="•"/>
      <w:lvlJc w:val="left"/>
      <w:pPr>
        <w:tabs>
          <w:tab w:val="num" w:pos="2880"/>
        </w:tabs>
        <w:ind w:left="2880" w:hanging="360"/>
      </w:pPr>
      <w:rPr>
        <w:rFonts w:ascii="Times New Roman" w:hAnsi="Times New Roman" w:hint="default"/>
      </w:rPr>
    </w:lvl>
    <w:lvl w:ilvl="4" w:tplc="A20C413A" w:tentative="1">
      <w:start w:val="1"/>
      <w:numFmt w:val="bullet"/>
      <w:lvlText w:val="•"/>
      <w:lvlJc w:val="left"/>
      <w:pPr>
        <w:tabs>
          <w:tab w:val="num" w:pos="3600"/>
        </w:tabs>
        <w:ind w:left="3600" w:hanging="360"/>
      </w:pPr>
      <w:rPr>
        <w:rFonts w:ascii="Times New Roman" w:hAnsi="Times New Roman" w:hint="default"/>
      </w:rPr>
    </w:lvl>
    <w:lvl w:ilvl="5" w:tplc="A16EA746" w:tentative="1">
      <w:start w:val="1"/>
      <w:numFmt w:val="bullet"/>
      <w:lvlText w:val="•"/>
      <w:lvlJc w:val="left"/>
      <w:pPr>
        <w:tabs>
          <w:tab w:val="num" w:pos="4320"/>
        </w:tabs>
        <w:ind w:left="4320" w:hanging="360"/>
      </w:pPr>
      <w:rPr>
        <w:rFonts w:ascii="Times New Roman" w:hAnsi="Times New Roman" w:hint="default"/>
      </w:rPr>
    </w:lvl>
    <w:lvl w:ilvl="6" w:tplc="B92417E0" w:tentative="1">
      <w:start w:val="1"/>
      <w:numFmt w:val="bullet"/>
      <w:lvlText w:val="•"/>
      <w:lvlJc w:val="left"/>
      <w:pPr>
        <w:tabs>
          <w:tab w:val="num" w:pos="5040"/>
        </w:tabs>
        <w:ind w:left="5040" w:hanging="360"/>
      </w:pPr>
      <w:rPr>
        <w:rFonts w:ascii="Times New Roman" w:hAnsi="Times New Roman" w:hint="default"/>
      </w:rPr>
    </w:lvl>
    <w:lvl w:ilvl="7" w:tplc="5E6A7C66" w:tentative="1">
      <w:start w:val="1"/>
      <w:numFmt w:val="bullet"/>
      <w:lvlText w:val="•"/>
      <w:lvlJc w:val="left"/>
      <w:pPr>
        <w:tabs>
          <w:tab w:val="num" w:pos="5760"/>
        </w:tabs>
        <w:ind w:left="5760" w:hanging="360"/>
      </w:pPr>
      <w:rPr>
        <w:rFonts w:ascii="Times New Roman" w:hAnsi="Times New Roman" w:hint="default"/>
      </w:rPr>
    </w:lvl>
    <w:lvl w:ilvl="8" w:tplc="D8C49140" w:tentative="1">
      <w:start w:val="1"/>
      <w:numFmt w:val="bullet"/>
      <w:lvlText w:val="•"/>
      <w:lvlJc w:val="left"/>
      <w:pPr>
        <w:tabs>
          <w:tab w:val="num" w:pos="6480"/>
        </w:tabs>
        <w:ind w:left="6480" w:hanging="360"/>
      </w:pPr>
      <w:rPr>
        <w:rFonts w:ascii="Times New Roman" w:hAnsi="Times New Roman" w:hint="default"/>
      </w:rPr>
    </w:lvl>
  </w:abstractNum>
  <w:abstractNum w:abstractNumId="8">
    <w:nsid w:val="3DCC7D8C"/>
    <w:multiLevelType w:val="hybridMultilevel"/>
    <w:tmpl w:val="52F4EFA0"/>
    <w:lvl w:ilvl="0" w:tplc="2C0A000F">
      <w:start w:val="1"/>
      <w:numFmt w:val="decimal"/>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9">
    <w:nsid w:val="403D1625"/>
    <w:multiLevelType w:val="hybridMultilevel"/>
    <w:tmpl w:val="7A22C630"/>
    <w:lvl w:ilvl="0" w:tplc="2C0A000F">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448B41D1"/>
    <w:multiLevelType w:val="hybridMultilevel"/>
    <w:tmpl w:val="C4EE7262"/>
    <w:lvl w:ilvl="0" w:tplc="B8F2C1FE">
      <w:start w:val="1"/>
      <w:numFmt w:val="decimal"/>
      <w:lvlText w:val="%1."/>
      <w:lvlJc w:val="left"/>
      <w:pPr>
        <w:ind w:left="1692" w:hanging="112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54A606F"/>
    <w:multiLevelType w:val="hybridMultilevel"/>
    <w:tmpl w:val="7A22C630"/>
    <w:lvl w:ilvl="0" w:tplc="2C0A000F">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6B6653F"/>
    <w:multiLevelType w:val="hybridMultilevel"/>
    <w:tmpl w:val="A9AEE530"/>
    <w:lvl w:ilvl="0" w:tplc="B8F2C1FE">
      <w:start w:val="1"/>
      <w:numFmt w:val="decimal"/>
      <w:lvlText w:val="%1."/>
      <w:lvlJc w:val="left"/>
      <w:pPr>
        <w:ind w:left="1692" w:hanging="1125"/>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3">
    <w:nsid w:val="4B926809"/>
    <w:multiLevelType w:val="hybridMultilevel"/>
    <w:tmpl w:val="E06E66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FBD178E"/>
    <w:multiLevelType w:val="hybridMultilevel"/>
    <w:tmpl w:val="2E92E4DE"/>
    <w:lvl w:ilvl="0" w:tplc="9F308334">
      <w:start w:val="1"/>
      <w:numFmt w:val="decimal"/>
      <w:lvlText w:val="%1."/>
      <w:lvlJc w:val="left"/>
      <w:pPr>
        <w:ind w:left="1004" w:hanging="360"/>
      </w:pPr>
      <w:rPr>
        <w:rFonts w:hint="default"/>
      </w:rPr>
    </w:lvl>
    <w:lvl w:ilvl="1" w:tplc="2C0A0019" w:tentative="1">
      <w:start w:val="1"/>
      <w:numFmt w:val="lowerLetter"/>
      <w:lvlText w:val="%2."/>
      <w:lvlJc w:val="left"/>
      <w:pPr>
        <w:ind w:left="1658" w:hanging="360"/>
      </w:pPr>
    </w:lvl>
    <w:lvl w:ilvl="2" w:tplc="2C0A001B" w:tentative="1">
      <w:start w:val="1"/>
      <w:numFmt w:val="lowerRoman"/>
      <w:lvlText w:val="%3."/>
      <w:lvlJc w:val="right"/>
      <w:pPr>
        <w:ind w:left="2378" w:hanging="180"/>
      </w:pPr>
    </w:lvl>
    <w:lvl w:ilvl="3" w:tplc="2C0A000F" w:tentative="1">
      <w:start w:val="1"/>
      <w:numFmt w:val="decimal"/>
      <w:lvlText w:val="%4."/>
      <w:lvlJc w:val="left"/>
      <w:pPr>
        <w:ind w:left="3098" w:hanging="360"/>
      </w:pPr>
    </w:lvl>
    <w:lvl w:ilvl="4" w:tplc="2C0A0019" w:tentative="1">
      <w:start w:val="1"/>
      <w:numFmt w:val="lowerLetter"/>
      <w:lvlText w:val="%5."/>
      <w:lvlJc w:val="left"/>
      <w:pPr>
        <w:ind w:left="3818" w:hanging="360"/>
      </w:pPr>
    </w:lvl>
    <w:lvl w:ilvl="5" w:tplc="2C0A001B" w:tentative="1">
      <w:start w:val="1"/>
      <w:numFmt w:val="lowerRoman"/>
      <w:lvlText w:val="%6."/>
      <w:lvlJc w:val="right"/>
      <w:pPr>
        <w:ind w:left="4538" w:hanging="180"/>
      </w:pPr>
    </w:lvl>
    <w:lvl w:ilvl="6" w:tplc="2C0A000F" w:tentative="1">
      <w:start w:val="1"/>
      <w:numFmt w:val="decimal"/>
      <w:lvlText w:val="%7."/>
      <w:lvlJc w:val="left"/>
      <w:pPr>
        <w:ind w:left="5258" w:hanging="360"/>
      </w:pPr>
    </w:lvl>
    <w:lvl w:ilvl="7" w:tplc="2C0A0019" w:tentative="1">
      <w:start w:val="1"/>
      <w:numFmt w:val="lowerLetter"/>
      <w:lvlText w:val="%8."/>
      <w:lvlJc w:val="left"/>
      <w:pPr>
        <w:ind w:left="5978" w:hanging="360"/>
      </w:pPr>
    </w:lvl>
    <w:lvl w:ilvl="8" w:tplc="2C0A001B" w:tentative="1">
      <w:start w:val="1"/>
      <w:numFmt w:val="lowerRoman"/>
      <w:lvlText w:val="%9."/>
      <w:lvlJc w:val="right"/>
      <w:pPr>
        <w:ind w:left="6698" w:hanging="180"/>
      </w:pPr>
    </w:lvl>
  </w:abstractNum>
  <w:abstractNum w:abstractNumId="15">
    <w:nsid w:val="60CD6788"/>
    <w:multiLevelType w:val="hybridMultilevel"/>
    <w:tmpl w:val="2E92E4DE"/>
    <w:lvl w:ilvl="0" w:tplc="9F308334">
      <w:start w:val="1"/>
      <w:numFmt w:val="decimal"/>
      <w:lvlText w:val="%1."/>
      <w:lvlJc w:val="left"/>
      <w:pPr>
        <w:ind w:left="1004" w:hanging="360"/>
      </w:pPr>
      <w:rPr>
        <w:rFonts w:hint="default"/>
      </w:rPr>
    </w:lvl>
    <w:lvl w:ilvl="1" w:tplc="2C0A0019" w:tentative="1">
      <w:start w:val="1"/>
      <w:numFmt w:val="lowerLetter"/>
      <w:lvlText w:val="%2."/>
      <w:lvlJc w:val="left"/>
      <w:pPr>
        <w:ind w:left="1658" w:hanging="360"/>
      </w:pPr>
    </w:lvl>
    <w:lvl w:ilvl="2" w:tplc="2C0A001B" w:tentative="1">
      <w:start w:val="1"/>
      <w:numFmt w:val="lowerRoman"/>
      <w:lvlText w:val="%3."/>
      <w:lvlJc w:val="right"/>
      <w:pPr>
        <w:ind w:left="2378" w:hanging="180"/>
      </w:pPr>
    </w:lvl>
    <w:lvl w:ilvl="3" w:tplc="2C0A000F" w:tentative="1">
      <w:start w:val="1"/>
      <w:numFmt w:val="decimal"/>
      <w:lvlText w:val="%4."/>
      <w:lvlJc w:val="left"/>
      <w:pPr>
        <w:ind w:left="3098" w:hanging="360"/>
      </w:pPr>
    </w:lvl>
    <w:lvl w:ilvl="4" w:tplc="2C0A0019" w:tentative="1">
      <w:start w:val="1"/>
      <w:numFmt w:val="lowerLetter"/>
      <w:lvlText w:val="%5."/>
      <w:lvlJc w:val="left"/>
      <w:pPr>
        <w:ind w:left="3818" w:hanging="360"/>
      </w:pPr>
    </w:lvl>
    <w:lvl w:ilvl="5" w:tplc="2C0A001B" w:tentative="1">
      <w:start w:val="1"/>
      <w:numFmt w:val="lowerRoman"/>
      <w:lvlText w:val="%6."/>
      <w:lvlJc w:val="right"/>
      <w:pPr>
        <w:ind w:left="4538" w:hanging="180"/>
      </w:pPr>
    </w:lvl>
    <w:lvl w:ilvl="6" w:tplc="2C0A000F" w:tentative="1">
      <w:start w:val="1"/>
      <w:numFmt w:val="decimal"/>
      <w:lvlText w:val="%7."/>
      <w:lvlJc w:val="left"/>
      <w:pPr>
        <w:ind w:left="5258" w:hanging="360"/>
      </w:pPr>
    </w:lvl>
    <w:lvl w:ilvl="7" w:tplc="2C0A0019" w:tentative="1">
      <w:start w:val="1"/>
      <w:numFmt w:val="lowerLetter"/>
      <w:lvlText w:val="%8."/>
      <w:lvlJc w:val="left"/>
      <w:pPr>
        <w:ind w:left="5978" w:hanging="360"/>
      </w:pPr>
    </w:lvl>
    <w:lvl w:ilvl="8" w:tplc="2C0A001B" w:tentative="1">
      <w:start w:val="1"/>
      <w:numFmt w:val="lowerRoman"/>
      <w:lvlText w:val="%9."/>
      <w:lvlJc w:val="right"/>
      <w:pPr>
        <w:ind w:left="6698" w:hanging="180"/>
      </w:pPr>
    </w:lvl>
  </w:abstractNum>
  <w:abstractNum w:abstractNumId="16">
    <w:nsid w:val="64AC5DE1"/>
    <w:multiLevelType w:val="hybridMultilevel"/>
    <w:tmpl w:val="7048F3F6"/>
    <w:lvl w:ilvl="0" w:tplc="D29438C2">
      <w:start w:val="1"/>
      <w:numFmt w:val="bullet"/>
      <w:lvlText w:val="•"/>
      <w:lvlJc w:val="left"/>
      <w:pPr>
        <w:tabs>
          <w:tab w:val="num" w:pos="720"/>
        </w:tabs>
        <w:ind w:left="720" w:hanging="360"/>
      </w:pPr>
      <w:rPr>
        <w:rFonts w:ascii="Times New Roman" w:hAnsi="Times New Roman" w:hint="default"/>
      </w:rPr>
    </w:lvl>
    <w:lvl w:ilvl="1" w:tplc="C9C0491C" w:tentative="1">
      <w:start w:val="1"/>
      <w:numFmt w:val="bullet"/>
      <w:lvlText w:val="•"/>
      <w:lvlJc w:val="left"/>
      <w:pPr>
        <w:tabs>
          <w:tab w:val="num" w:pos="1440"/>
        </w:tabs>
        <w:ind w:left="1440" w:hanging="360"/>
      </w:pPr>
      <w:rPr>
        <w:rFonts w:ascii="Times New Roman" w:hAnsi="Times New Roman" w:hint="default"/>
      </w:rPr>
    </w:lvl>
    <w:lvl w:ilvl="2" w:tplc="1C9CEE4A" w:tentative="1">
      <w:start w:val="1"/>
      <w:numFmt w:val="bullet"/>
      <w:lvlText w:val="•"/>
      <w:lvlJc w:val="left"/>
      <w:pPr>
        <w:tabs>
          <w:tab w:val="num" w:pos="2160"/>
        </w:tabs>
        <w:ind w:left="2160" w:hanging="360"/>
      </w:pPr>
      <w:rPr>
        <w:rFonts w:ascii="Times New Roman" w:hAnsi="Times New Roman" w:hint="default"/>
      </w:rPr>
    </w:lvl>
    <w:lvl w:ilvl="3" w:tplc="1F4CEF4C" w:tentative="1">
      <w:start w:val="1"/>
      <w:numFmt w:val="bullet"/>
      <w:lvlText w:val="•"/>
      <w:lvlJc w:val="left"/>
      <w:pPr>
        <w:tabs>
          <w:tab w:val="num" w:pos="2880"/>
        </w:tabs>
        <w:ind w:left="2880" w:hanging="360"/>
      </w:pPr>
      <w:rPr>
        <w:rFonts w:ascii="Times New Roman" w:hAnsi="Times New Roman" w:hint="default"/>
      </w:rPr>
    </w:lvl>
    <w:lvl w:ilvl="4" w:tplc="B654290E" w:tentative="1">
      <w:start w:val="1"/>
      <w:numFmt w:val="bullet"/>
      <w:lvlText w:val="•"/>
      <w:lvlJc w:val="left"/>
      <w:pPr>
        <w:tabs>
          <w:tab w:val="num" w:pos="3600"/>
        </w:tabs>
        <w:ind w:left="3600" w:hanging="360"/>
      </w:pPr>
      <w:rPr>
        <w:rFonts w:ascii="Times New Roman" w:hAnsi="Times New Roman" w:hint="default"/>
      </w:rPr>
    </w:lvl>
    <w:lvl w:ilvl="5" w:tplc="7006FB3E" w:tentative="1">
      <w:start w:val="1"/>
      <w:numFmt w:val="bullet"/>
      <w:lvlText w:val="•"/>
      <w:lvlJc w:val="left"/>
      <w:pPr>
        <w:tabs>
          <w:tab w:val="num" w:pos="4320"/>
        </w:tabs>
        <w:ind w:left="4320" w:hanging="360"/>
      </w:pPr>
      <w:rPr>
        <w:rFonts w:ascii="Times New Roman" w:hAnsi="Times New Roman" w:hint="default"/>
      </w:rPr>
    </w:lvl>
    <w:lvl w:ilvl="6" w:tplc="1212A79A" w:tentative="1">
      <w:start w:val="1"/>
      <w:numFmt w:val="bullet"/>
      <w:lvlText w:val="•"/>
      <w:lvlJc w:val="left"/>
      <w:pPr>
        <w:tabs>
          <w:tab w:val="num" w:pos="5040"/>
        </w:tabs>
        <w:ind w:left="5040" w:hanging="360"/>
      </w:pPr>
      <w:rPr>
        <w:rFonts w:ascii="Times New Roman" w:hAnsi="Times New Roman" w:hint="default"/>
      </w:rPr>
    </w:lvl>
    <w:lvl w:ilvl="7" w:tplc="4406E85C" w:tentative="1">
      <w:start w:val="1"/>
      <w:numFmt w:val="bullet"/>
      <w:lvlText w:val="•"/>
      <w:lvlJc w:val="left"/>
      <w:pPr>
        <w:tabs>
          <w:tab w:val="num" w:pos="5760"/>
        </w:tabs>
        <w:ind w:left="5760" w:hanging="360"/>
      </w:pPr>
      <w:rPr>
        <w:rFonts w:ascii="Times New Roman" w:hAnsi="Times New Roman" w:hint="default"/>
      </w:rPr>
    </w:lvl>
    <w:lvl w:ilvl="8" w:tplc="C2FE124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ECA09B8"/>
    <w:multiLevelType w:val="hybridMultilevel"/>
    <w:tmpl w:val="3AC887F8"/>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777A54A3"/>
    <w:multiLevelType w:val="hybridMultilevel"/>
    <w:tmpl w:val="954AA0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77857688"/>
    <w:multiLevelType w:val="hybridMultilevel"/>
    <w:tmpl w:val="0F30FEFE"/>
    <w:lvl w:ilvl="0" w:tplc="EDE4CA5E">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4"/>
  </w:num>
  <w:num w:numId="3">
    <w:abstractNumId w:val="11"/>
  </w:num>
  <w:num w:numId="4">
    <w:abstractNumId w:val="15"/>
  </w:num>
  <w:num w:numId="5">
    <w:abstractNumId w:val="13"/>
  </w:num>
  <w:num w:numId="6">
    <w:abstractNumId w:val="17"/>
  </w:num>
  <w:num w:numId="7">
    <w:abstractNumId w:val="19"/>
  </w:num>
  <w:num w:numId="8">
    <w:abstractNumId w:val="9"/>
  </w:num>
  <w:num w:numId="9">
    <w:abstractNumId w:val="14"/>
  </w:num>
  <w:num w:numId="10">
    <w:abstractNumId w:val="8"/>
  </w:num>
  <w:num w:numId="11">
    <w:abstractNumId w:val="12"/>
  </w:num>
  <w:num w:numId="12">
    <w:abstractNumId w:val="10"/>
  </w:num>
  <w:num w:numId="13">
    <w:abstractNumId w:val="18"/>
  </w:num>
  <w:num w:numId="14">
    <w:abstractNumId w:val="6"/>
  </w:num>
  <w:num w:numId="15">
    <w:abstractNumId w:val="2"/>
  </w:num>
  <w:num w:numId="16">
    <w:abstractNumId w:val="5"/>
  </w:num>
  <w:num w:numId="17">
    <w:abstractNumId w:val="1"/>
  </w:num>
  <w:num w:numId="18">
    <w:abstractNumId w:val="3"/>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98"/>
    <w:rsid w:val="00032300"/>
    <w:rsid w:val="000764B0"/>
    <w:rsid w:val="000868BE"/>
    <w:rsid w:val="000918E2"/>
    <w:rsid w:val="000C0AB3"/>
    <w:rsid w:val="000C308B"/>
    <w:rsid w:val="000C392A"/>
    <w:rsid w:val="000D469F"/>
    <w:rsid w:val="000F02A2"/>
    <w:rsid w:val="00122C65"/>
    <w:rsid w:val="00145D45"/>
    <w:rsid w:val="00146F80"/>
    <w:rsid w:val="00151317"/>
    <w:rsid w:val="00171B18"/>
    <w:rsid w:val="00184A0B"/>
    <w:rsid w:val="001951D7"/>
    <w:rsid w:val="001A4412"/>
    <w:rsid w:val="001B1512"/>
    <w:rsid w:val="001D0269"/>
    <w:rsid w:val="001E0A2C"/>
    <w:rsid w:val="0020149D"/>
    <w:rsid w:val="00202587"/>
    <w:rsid w:val="002047F2"/>
    <w:rsid w:val="0022036B"/>
    <w:rsid w:val="00222099"/>
    <w:rsid w:val="00225A44"/>
    <w:rsid w:val="00242CEC"/>
    <w:rsid w:val="002F4B20"/>
    <w:rsid w:val="0030057A"/>
    <w:rsid w:val="003016C8"/>
    <w:rsid w:val="00302BE4"/>
    <w:rsid w:val="00327AC6"/>
    <w:rsid w:val="00342255"/>
    <w:rsid w:val="00374B54"/>
    <w:rsid w:val="003774F5"/>
    <w:rsid w:val="003A38C0"/>
    <w:rsid w:val="003F1486"/>
    <w:rsid w:val="00433F51"/>
    <w:rsid w:val="0044352D"/>
    <w:rsid w:val="00453B9E"/>
    <w:rsid w:val="00454369"/>
    <w:rsid w:val="0048056E"/>
    <w:rsid w:val="004A4ABF"/>
    <w:rsid w:val="004C54B4"/>
    <w:rsid w:val="004D35A8"/>
    <w:rsid w:val="00500A40"/>
    <w:rsid w:val="00504D8D"/>
    <w:rsid w:val="00504ECB"/>
    <w:rsid w:val="00506052"/>
    <w:rsid w:val="00511D72"/>
    <w:rsid w:val="00514CCB"/>
    <w:rsid w:val="00567E4E"/>
    <w:rsid w:val="00570D0B"/>
    <w:rsid w:val="00581F9D"/>
    <w:rsid w:val="00585AE6"/>
    <w:rsid w:val="005A1CD1"/>
    <w:rsid w:val="005B747E"/>
    <w:rsid w:val="005B7A8B"/>
    <w:rsid w:val="005D727B"/>
    <w:rsid w:val="005E3DBA"/>
    <w:rsid w:val="005E3E3D"/>
    <w:rsid w:val="0060492C"/>
    <w:rsid w:val="006179B6"/>
    <w:rsid w:val="00643D74"/>
    <w:rsid w:val="0064591F"/>
    <w:rsid w:val="00684135"/>
    <w:rsid w:val="006914A4"/>
    <w:rsid w:val="00695840"/>
    <w:rsid w:val="006A62F3"/>
    <w:rsid w:val="006A6859"/>
    <w:rsid w:val="006C57AA"/>
    <w:rsid w:val="006F7CAA"/>
    <w:rsid w:val="0072102A"/>
    <w:rsid w:val="00774233"/>
    <w:rsid w:val="00785A98"/>
    <w:rsid w:val="007944E9"/>
    <w:rsid w:val="007A3847"/>
    <w:rsid w:val="007C53BC"/>
    <w:rsid w:val="007C6AC3"/>
    <w:rsid w:val="007C7042"/>
    <w:rsid w:val="007D7DEE"/>
    <w:rsid w:val="007F372B"/>
    <w:rsid w:val="0080321C"/>
    <w:rsid w:val="008128C0"/>
    <w:rsid w:val="00823528"/>
    <w:rsid w:val="00853BC0"/>
    <w:rsid w:val="00861B6F"/>
    <w:rsid w:val="0086407E"/>
    <w:rsid w:val="00876FE4"/>
    <w:rsid w:val="00895B28"/>
    <w:rsid w:val="008B5D2E"/>
    <w:rsid w:val="008B6121"/>
    <w:rsid w:val="008C0917"/>
    <w:rsid w:val="008C5D6B"/>
    <w:rsid w:val="008D62D4"/>
    <w:rsid w:val="008E1E96"/>
    <w:rsid w:val="00917FA4"/>
    <w:rsid w:val="00926AE3"/>
    <w:rsid w:val="009613CE"/>
    <w:rsid w:val="00981927"/>
    <w:rsid w:val="009A09EF"/>
    <w:rsid w:val="009B3537"/>
    <w:rsid w:val="009D29F4"/>
    <w:rsid w:val="00A017F0"/>
    <w:rsid w:val="00A1034A"/>
    <w:rsid w:val="00A16348"/>
    <w:rsid w:val="00A2123B"/>
    <w:rsid w:val="00A344ED"/>
    <w:rsid w:val="00A97422"/>
    <w:rsid w:val="00AA29A8"/>
    <w:rsid w:val="00AA2CAA"/>
    <w:rsid w:val="00AA3E41"/>
    <w:rsid w:val="00AA43E7"/>
    <w:rsid w:val="00AC3494"/>
    <w:rsid w:val="00AF357B"/>
    <w:rsid w:val="00AF5688"/>
    <w:rsid w:val="00B01ECE"/>
    <w:rsid w:val="00B10575"/>
    <w:rsid w:val="00B571C3"/>
    <w:rsid w:val="00B63BEF"/>
    <w:rsid w:val="00BA0CEA"/>
    <w:rsid w:val="00BC513D"/>
    <w:rsid w:val="00BF051C"/>
    <w:rsid w:val="00BF3BBD"/>
    <w:rsid w:val="00C17DED"/>
    <w:rsid w:val="00C23730"/>
    <w:rsid w:val="00C5778C"/>
    <w:rsid w:val="00C7113B"/>
    <w:rsid w:val="00CB3F00"/>
    <w:rsid w:val="00CB3FA4"/>
    <w:rsid w:val="00CD2847"/>
    <w:rsid w:val="00CD4629"/>
    <w:rsid w:val="00CD5556"/>
    <w:rsid w:val="00D02707"/>
    <w:rsid w:val="00D52AFB"/>
    <w:rsid w:val="00D607F5"/>
    <w:rsid w:val="00D619E7"/>
    <w:rsid w:val="00D631B3"/>
    <w:rsid w:val="00DC3B24"/>
    <w:rsid w:val="00DE4903"/>
    <w:rsid w:val="00E16451"/>
    <w:rsid w:val="00E21615"/>
    <w:rsid w:val="00E412F2"/>
    <w:rsid w:val="00E97B5C"/>
    <w:rsid w:val="00EA2DC5"/>
    <w:rsid w:val="00ED0CB0"/>
    <w:rsid w:val="00EE1CB9"/>
    <w:rsid w:val="00EE309A"/>
    <w:rsid w:val="00EE4942"/>
    <w:rsid w:val="00F115A6"/>
    <w:rsid w:val="00F16276"/>
    <w:rsid w:val="00F2639A"/>
    <w:rsid w:val="00F32751"/>
    <w:rsid w:val="00F34A77"/>
    <w:rsid w:val="00F36C5E"/>
    <w:rsid w:val="00F702CB"/>
    <w:rsid w:val="00F87730"/>
    <w:rsid w:val="00FB31DF"/>
    <w:rsid w:val="00FB4A78"/>
    <w:rsid w:val="00FC6483"/>
    <w:rsid w:val="00FD72BB"/>
    <w:rsid w:val="00FF04B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71C65"/>
    <w:pPr>
      <w:spacing w:after="20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5A98"/>
    <w:pPr>
      <w:tabs>
        <w:tab w:val="center" w:pos="4419"/>
        <w:tab w:val="right" w:pos="8838"/>
      </w:tabs>
      <w:spacing w:after="0"/>
    </w:pPr>
  </w:style>
  <w:style w:type="character" w:customStyle="1" w:styleId="EncabezadoCar">
    <w:name w:val="Encabezado Car"/>
    <w:basedOn w:val="Fuentedeprrafopredeter"/>
    <w:link w:val="Encabezado"/>
    <w:uiPriority w:val="99"/>
    <w:rsid w:val="00785A98"/>
  </w:style>
  <w:style w:type="paragraph" w:styleId="Piedepgina">
    <w:name w:val="footer"/>
    <w:basedOn w:val="Normal"/>
    <w:link w:val="PiedepginaCar"/>
    <w:uiPriority w:val="99"/>
    <w:unhideWhenUsed/>
    <w:rsid w:val="00785A98"/>
    <w:pPr>
      <w:tabs>
        <w:tab w:val="center" w:pos="4419"/>
        <w:tab w:val="right" w:pos="8838"/>
      </w:tabs>
      <w:spacing w:after="0"/>
    </w:pPr>
  </w:style>
  <w:style w:type="character" w:customStyle="1" w:styleId="PiedepginaCar">
    <w:name w:val="Pie de página Car"/>
    <w:basedOn w:val="Fuentedeprrafopredeter"/>
    <w:link w:val="Piedepgina"/>
    <w:uiPriority w:val="99"/>
    <w:rsid w:val="00785A98"/>
  </w:style>
  <w:style w:type="character" w:styleId="Hipervnculo">
    <w:name w:val="Hyperlink"/>
    <w:uiPriority w:val="99"/>
    <w:unhideWhenUsed/>
    <w:rsid w:val="006A28AC"/>
    <w:rPr>
      <w:color w:val="0000FF"/>
      <w:u w:val="single"/>
    </w:rPr>
  </w:style>
  <w:style w:type="character" w:styleId="Hipervnculovisitado">
    <w:name w:val="FollowedHyperlink"/>
    <w:uiPriority w:val="99"/>
    <w:semiHidden/>
    <w:unhideWhenUsed/>
    <w:rsid w:val="006A28AC"/>
    <w:rPr>
      <w:color w:val="800080"/>
      <w:u w:val="single"/>
    </w:rPr>
  </w:style>
  <w:style w:type="paragraph" w:styleId="Prrafodelista">
    <w:name w:val="List Paragraph"/>
    <w:basedOn w:val="Normal"/>
    <w:uiPriority w:val="34"/>
    <w:qFormat/>
    <w:rsid w:val="007C7042"/>
    <w:pPr>
      <w:spacing w:line="276" w:lineRule="auto"/>
      <w:ind w:left="720"/>
    </w:pPr>
    <w:rPr>
      <w:rFonts w:ascii="Calibri" w:eastAsia="Calibri" w:hAnsi="Calibri" w:cs="Calibri"/>
      <w:sz w:val="22"/>
      <w:szCs w:val="22"/>
      <w:lang w:val="es-AR"/>
    </w:rPr>
  </w:style>
  <w:style w:type="paragraph" w:styleId="Sinespaciado">
    <w:name w:val="No Spacing"/>
    <w:uiPriority w:val="99"/>
    <w:qFormat/>
    <w:rsid w:val="007C7042"/>
    <w:rPr>
      <w:rFonts w:ascii="Calibri" w:eastAsia="Calibri" w:hAnsi="Calibri" w:cs="Calibri"/>
      <w:sz w:val="22"/>
      <w:szCs w:val="22"/>
      <w:lang w:val="es-AR"/>
    </w:rPr>
  </w:style>
  <w:style w:type="character" w:customStyle="1" w:styleId="longtext1">
    <w:name w:val="long_text1"/>
    <w:rsid w:val="007C7042"/>
    <w:rPr>
      <w:sz w:val="24"/>
      <w:szCs w:val="24"/>
    </w:rPr>
  </w:style>
  <w:style w:type="paragraph" w:styleId="Textodeglobo">
    <w:name w:val="Balloon Text"/>
    <w:basedOn w:val="Normal"/>
    <w:link w:val="TextodegloboCar"/>
    <w:uiPriority w:val="99"/>
    <w:semiHidden/>
    <w:unhideWhenUsed/>
    <w:rsid w:val="0072102A"/>
    <w:pPr>
      <w:spacing w:after="0"/>
    </w:pPr>
    <w:rPr>
      <w:rFonts w:ascii="Tahoma" w:hAnsi="Tahoma"/>
      <w:sz w:val="16"/>
      <w:szCs w:val="16"/>
    </w:rPr>
  </w:style>
  <w:style w:type="character" w:customStyle="1" w:styleId="TextodegloboCar">
    <w:name w:val="Texto de globo Car"/>
    <w:link w:val="Textodeglobo"/>
    <w:uiPriority w:val="99"/>
    <w:semiHidden/>
    <w:rsid w:val="0072102A"/>
    <w:rPr>
      <w:rFonts w:ascii="Tahoma" w:hAnsi="Tahoma" w:cs="Tahoma"/>
      <w:sz w:val="16"/>
      <w:szCs w:val="16"/>
      <w:lang w:val="en-US" w:eastAsia="en-US"/>
    </w:rPr>
  </w:style>
  <w:style w:type="paragraph" w:customStyle="1" w:styleId="TableParagraph">
    <w:name w:val="Table Paragraph"/>
    <w:basedOn w:val="Normal"/>
    <w:uiPriority w:val="1"/>
    <w:qFormat/>
    <w:rsid w:val="003016C8"/>
    <w:pPr>
      <w:widowControl w:val="0"/>
      <w:spacing w:after="0"/>
    </w:pPr>
    <w:rPr>
      <w:rFonts w:ascii="Calibri" w:eastAsia="Calibri" w:hAnsi="Calibri"/>
      <w:sz w:val="22"/>
      <w:szCs w:val="22"/>
    </w:rPr>
  </w:style>
  <w:style w:type="character" w:styleId="Refdecomentario">
    <w:name w:val="annotation reference"/>
    <w:uiPriority w:val="99"/>
    <w:semiHidden/>
    <w:unhideWhenUsed/>
    <w:rsid w:val="00774233"/>
    <w:rPr>
      <w:sz w:val="16"/>
      <w:szCs w:val="16"/>
    </w:rPr>
  </w:style>
  <w:style w:type="paragraph" w:styleId="Textocomentario">
    <w:name w:val="annotation text"/>
    <w:basedOn w:val="Normal"/>
    <w:link w:val="TextocomentarioCar"/>
    <w:uiPriority w:val="99"/>
    <w:semiHidden/>
    <w:unhideWhenUsed/>
    <w:rsid w:val="00774233"/>
    <w:rPr>
      <w:sz w:val="20"/>
      <w:szCs w:val="20"/>
    </w:rPr>
  </w:style>
  <w:style w:type="character" w:customStyle="1" w:styleId="TextocomentarioCar">
    <w:name w:val="Texto comentario Car"/>
    <w:link w:val="Textocomentario"/>
    <w:uiPriority w:val="99"/>
    <w:semiHidden/>
    <w:rsid w:val="00774233"/>
    <w:rPr>
      <w:lang w:val="en-US" w:eastAsia="en-US"/>
    </w:rPr>
  </w:style>
  <w:style w:type="paragraph" w:styleId="Asuntodelcomentario">
    <w:name w:val="annotation subject"/>
    <w:basedOn w:val="Textocomentario"/>
    <w:next w:val="Textocomentario"/>
    <w:link w:val="AsuntodelcomentarioCar"/>
    <w:uiPriority w:val="99"/>
    <w:semiHidden/>
    <w:unhideWhenUsed/>
    <w:rsid w:val="00774233"/>
    <w:rPr>
      <w:b/>
      <w:bCs/>
    </w:rPr>
  </w:style>
  <w:style w:type="character" w:customStyle="1" w:styleId="AsuntodelcomentarioCar">
    <w:name w:val="Asunto del comentario Car"/>
    <w:link w:val="Asuntodelcomentario"/>
    <w:uiPriority w:val="99"/>
    <w:semiHidden/>
    <w:rsid w:val="00774233"/>
    <w:rPr>
      <w:b/>
      <w:bCs/>
      <w:lang w:val="en-US" w:eastAsia="en-US"/>
    </w:rPr>
  </w:style>
  <w:style w:type="paragraph" w:styleId="Textonotapie">
    <w:name w:val="footnote text"/>
    <w:basedOn w:val="Normal"/>
    <w:link w:val="TextonotapieCar"/>
    <w:uiPriority w:val="99"/>
    <w:semiHidden/>
    <w:unhideWhenUsed/>
    <w:rsid w:val="00374B54"/>
    <w:rPr>
      <w:sz w:val="20"/>
      <w:szCs w:val="20"/>
    </w:rPr>
  </w:style>
  <w:style w:type="character" w:customStyle="1" w:styleId="TextonotapieCar">
    <w:name w:val="Texto nota pie Car"/>
    <w:basedOn w:val="Fuentedeprrafopredeter"/>
    <w:link w:val="Textonotapie"/>
    <w:uiPriority w:val="99"/>
    <w:semiHidden/>
    <w:rsid w:val="00374B54"/>
  </w:style>
  <w:style w:type="character" w:styleId="Refdenotaalpie">
    <w:name w:val="footnote reference"/>
    <w:basedOn w:val="Fuentedeprrafopredeter"/>
    <w:uiPriority w:val="99"/>
    <w:semiHidden/>
    <w:unhideWhenUsed/>
    <w:rsid w:val="00374B54"/>
    <w:rPr>
      <w:vertAlign w:val="superscript"/>
    </w:rPr>
  </w:style>
  <w:style w:type="paragraph" w:customStyle="1" w:styleId="bodytext">
    <w:name w:val="bodytext"/>
    <w:basedOn w:val="Normal"/>
    <w:rsid w:val="00AA43E7"/>
    <w:pPr>
      <w:spacing w:before="100" w:beforeAutospacing="1" w:after="100" w:afterAutospacing="1"/>
    </w:pPr>
    <w:rPr>
      <w:rFonts w:ascii="Times New Roman" w:eastAsia="Times New Roman" w:hAnsi="Times New Roman"/>
    </w:rPr>
  </w:style>
  <w:style w:type="paragraph" w:styleId="NormalWeb">
    <w:name w:val="Normal (Web)"/>
    <w:basedOn w:val="Normal"/>
    <w:uiPriority w:val="99"/>
    <w:semiHidden/>
    <w:unhideWhenUsed/>
    <w:rsid w:val="006914A4"/>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71C65"/>
    <w:pPr>
      <w:spacing w:after="20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5A98"/>
    <w:pPr>
      <w:tabs>
        <w:tab w:val="center" w:pos="4419"/>
        <w:tab w:val="right" w:pos="8838"/>
      </w:tabs>
      <w:spacing w:after="0"/>
    </w:pPr>
  </w:style>
  <w:style w:type="character" w:customStyle="1" w:styleId="EncabezadoCar">
    <w:name w:val="Encabezado Car"/>
    <w:basedOn w:val="Fuentedeprrafopredeter"/>
    <w:link w:val="Encabezado"/>
    <w:uiPriority w:val="99"/>
    <w:rsid w:val="00785A98"/>
  </w:style>
  <w:style w:type="paragraph" w:styleId="Piedepgina">
    <w:name w:val="footer"/>
    <w:basedOn w:val="Normal"/>
    <w:link w:val="PiedepginaCar"/>
    <w:uiPriority w:val="99"/>
    <w:unhideWhenUsed/>
    <w:rsid w:val="00785A98"/>
    <w:pPr>
      <w:tabs>
        <w:tab w:val="center" w:pos="4419"/>
        <w:tab w:val="right" w:pos="8838"/>
      </w:tabs>
      <w:spacing w:after="0"/>
    </w:pPr>
  </w:style>
  <w:style w:type="character" w:customStyle="1" w:styleId="PiedepginaCar">
    <w:name w:val="Pie de página Car"/>
    <w:basedOn w:val="Fuentedeprrafopredeter"/>
    <w:link w:val="Piedepgina"/>
    <w:uiPriority w:val="99"/>
    <w:rsid w:val="00785A98"/>
  </w:style>
  <w:style w:type="character" w:styleId="Hipervnculo">
    <w:name w:val="Hyperlink"/>
    <w:uiPriority w:val="99"/>
    <w:unhideWhenUsed/>
    <w:rsid w:val="006A28AC"/>
    <w:rPr>
      <w:color w:val="0000FF"/>
      <w:u w:val="single"/>
    </w:rPr>
  </w:style>
  <w:style w:type="character" w:styleId="Hipervnculovisitado">
    <w:name w:val="FollowedHyperlink"/>
    <w:uiPriority w:val="99"/>
    <w:semiHidden/>
    <w:unhideWhenUsed/>
    <w:rsid w:val="006A28AC"/>
    <w:rPr>
      <w:color w:val="800080"/>
      <w:u w:val="single"/>
    </w:rPr>
  </w:style>
  <w:style w:type="paragraph" w:styleId="Prrafodelista">
    <w:name w:val="List Paragraph"/>
    <w:basedOn w:val="Normal"/>
    <w:uiPriority w:val="34"/>
    <w:qFormat/>
    <w:rsid w:val="007C7042"/>
    <w:pPr>
      <w:spacing w:line="276" w:lineRule="auto"/>
      <w:ind w:left="720"/>
    </w:pPr>
    <w:rPr>
      <w:rFonts w:ascii="Calibri" w:eastAsia="Calibri" w:hAnsi="Calibri" w:cs="Calibri"/>
      <w:sz w:val="22"/>
      <w:szCs w:val="22"/>
      <w:lang w:val="es-AR"/>
    </w:rPr>
  </w:style>
  <w:style w:type="paragraph" w:styleId="Sinespaciado">
    <w:name w:val="No Spacing"/>
    <w:uiPriority w:val="99"/>
    <w:qFormat/>
    <w:rsid w:val="007C7042"/>
    <w:rPr>
      <w:rFonts w:ascii="Calibri" w:eastAsia="Calibri" w:hAnsi="Calibri" w:cs="Calibri"/>
      <w:sz w:val="22"/>
      <w:szCs w:val="22"/>
      <w:lang w:val="es-AR"/>
    </w:rPr>
  </w:style>
  <w:style w:type="character" w:customStyle="1" w:styleId="longtext1">
    <w:name w:val="long_text1"/>
    <w:rsid w:val="007C7042"/>
    <w:rPr>
      <w:sz w:val="24"/>
      <w:szCs w:val="24"/>
    </w:rPr>
  </w:style>
  <w:style w:type="paragraph" w:styleId="Textodeglobo">
    <w:name w:val="Balloon Text"/>
    <w:basedOn w:val="Normal"/>
    <w:link w:val="TextodegloboCar"/>
    <w:uiPriority w:val="99"/>
    <w:semiHidden/>
    <w:unhideWhenUsed/>
    <w:rsid w:val="0072102A"/>
    <w:pPr>
      <w:spacing w:after="0"/>
    </w:pPr>
    <w:rPr>
      <w:rFonts w:ascii="Tahoma" w:hAnsi="Tahoma"/>
      <w:sz w:val="16"/>
      <w:szCs w:val="16"/>
    </w:rPr>
  </w:style>
  <w:style w:type="character" w:customStyle="1" w:styleId="TextodegloboCar">
    <w:name w:val="Texto de globo Car"/>
    <w:link w:val="Textodeglobo"/>
    <w:uiPriority w:val="99"/>
    <w:semiHidden/>
    <w:rsid w:val="0072102A"/>
    <w:rPr>
      <w:rFonts w:ascii="Tahoma" w:hAnsi="Tahoma" w:cs="Tahoma"/>
      <w:sz w:val="16"/>
      <w:szCs w:val="16"/>
      <w:lang w:val="en-US" w:eastAsia="en-US"/>
    </w:rPr>
  </w:style>
  <w:style w:type="paragraph" w:customStyle="1" w:styleId="TableParagraph">
    <w:name w:val="Table Paragraph"/>
    <w:basedOn w:val="Normal"/>
    <w:uiPriority w:val="1"/>
    <w:qFormat/>
    <w:rsid w:val="003016C8"/>
    <w:pPr>
      <w:widowControl w:val="0"/>
      <w:spacing w:after="0"/>
    </w:pPr>
    <w:rPr>
      <w:rFonts w:ascii="Calibri" w:eastAsia="Calibri" w:hAnsi="Calibri"/>
      <w:sz w:val="22"/>
      <w:szCs w:val="22"/>
    </w:rPr>
  </w:style>
  <w:style w:type="character" w:styleId="Refdecomentario">
    <w:name w:val="annotation reference"/>
    <w:uiPriority w:val="99"/>
    <w:semiHidden/>
    <w:unhideWhenUsed/>
    <w:rsid w:val="00774233"/>
    <w:rPr>
      <w:sz w:val="16"/>
      <w:szCs w:val="16"/>
    </w:rPr>
  </w:style>
  <w:style w:type="paragraph" w:styleId="Textocomentario">
    <w:name w:val="annotation text"/>
    <w:basedOn w:val="Normal"/>
    <w:link w:val="TextocomentarioCar"/>
    <w:uiPriority w:val="99"/>
    <w:semiHidden/>
    <w:unhideWhenUsed/>
    <w:rsid w:val="00774233"/>
    <w:rPr>
      <w:sz w:val="20"/>
      <w:szCs w:val="20"/>
    </w:rPr>
  </w:style>
  <w:style w:type="character" w:customStyle="1" w:styleId="TextocomentarioCar">
    <w:name w:val="Texto comentario Car"/>
    <w:link w:val="Textocomentario"/>
    <w:uiPriority w:val="99"/>
    <w:semiHidden/>
    <w:rsid w:val="00774233"/>
    <w:rPr>
      <w:lang w:val="en-US" w:eastAsia="en-US"/>
    </w:rPr>
  </w:style>
  <w:style w:type="paragraph" w:styleId="Asuntodelcomentario">
    <w:name w:val="annotation subject"/>
    <w:basedOn w:val="Textocomentario"/>
    <w:next w:val="Textocomentario"/>
    <w:link w:val="AsuntodelcomentarioCar"/>
    <w:uiPriority w:val="99"/>
    <w:semiHidden/>
    <w:unhideWhenUsed/>
    <w:rsid w:val="00774233"/>
    <w:rPr>
      <w:b/>
      <w:bCs/>
    </w:rPr>
  </w:style>
  <w:style w:type="character" w:customStyle="1" w:styleId="AsuntodelcomentarioCar">
    <w:name w:val="Asunto del comentario Car"/>
    <w:link w:val="Asuntodelcomentario"/>
    <w:uiPriority w:val="99"/>
    <w:semiHidden/>
    <w:rsid w:val="00774233"/>
    <w:rPr>
      <w:b/>
      <w:bCs/>
      <w:lang w:val="en-US" w:eastAsia="en-US"/>
    </w:rPr>
  </w:style>
  <w:style w:type="paragraph" w:styleId="Textonotapie">
    <w:name w:val="footnote text"/>
    <w:basedOn w:val="Normal"/>
    <w:link w:val="TextonotapieCar"/>
    <w:uiPriority w:val="99"/>
    <w:semiHidden/>
    <w:unhideWhenUsed/>
    <w:rsid w:val="00374B54"/>
    <w:rPr>
      <w:sz w:val="20"/>
      <w:szCs w:val="20"/>
    </w:rPr>
  </w:style>
  <w:style w:type="character" w:customStyle="1" w:styleId="TextonotapieCar">
    <w:name w:val="Texto nota pie Car"/>
    <w:basedOn w:val="Fuentedeprrafopredeter"/>
    <w:link w:val="Textonotapie"/>
    <w:uiPriority w:val="99"/>
    <w:semiHidden/>
    <w:rsid w:val="00374B54"/>
  </w:style>
  <w:style w:type="character" w:styleId="Refdenotaalpie">
    <w:name w:val="footnote reference"/>
    <w:basedOn w:val="Fuentedeprrafopredeter"/>
    <w:uiPriority w:val="99"/>
    <w:semiHidden/>
    <w:unhideWhenUsed/>
    <w:rsid w:val="00374B54"/>
    <w:rPr>
      <w:vertAlign w:val="superscript"/>
    </w:rPr>
  </w:style>
  <w:style w:type="paragraph" w:customStyle="1" w:styleId="bodytext">
    <w:name w:val="bodytext"/>
    <w:basedOn w:val="Normal"/>
    <w:rsid w:val="00AA43E7"/>
    <w:pPr>
      <w:spacing w:before="100" w:beforeAutospacing="1" w:after="100" w:afterAutospacing="1"/>
    </w:pPr>
    <w:rPr>
      <w:rFonts w:ascii="Times New Roman" w:eastAsia="Times New Roman" w:hAnsi="Times New Roman"/>
    </w:rPr>
  </w:style>
  <w:style w:type="paragraph" w:styleId="NormalWeb">
    <w:name w:val="Normal (Web)"/>
    <w:basedOn w:val="Normal"/>
    <w:uiPriority w:val="99"/>
    <w:semiHidden/>
    <w:unhideWhenUsed/>
    <w:rsid w:val="006914A4"/>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96170">
      <w:bodyDiv w:val="1"/>
      <w:marLeft w:val="0"/>
      <w:marRight w:val="0"/>
      <w:marTop w:val="0"/>
      <w:marBottom w:val="0"/>
      <w:divBdr>
        <w:top w:val="none" w:sz="0" w:space="0" w:color="auto"/>
        <w:left w:val="none" w:sz="0" w:space="0" w:color="auto"/>
        <w:bottom w:val="none" w:sz="0" w:space="0" w:color="auto"/>
        <w:right w:val="none" w:sz="0" w:space="0" w:color="auto"/>
      </w:divBdr>
    </w:div>
    <w:div w:id="1143153700">
      <w:bodyDiv w:val="1"/>
      <w:marLeft w:val="0"/>
      <w:marRight w:val="0"/>
      <w:marTop w:val="0"/>
      <w:marBottom w:val="0"/>
      <w:divBdr>
        <w:top w:val="none" w:sz="0" w:space="0" w:color="auto"/>
        <w:left w:val="none" w:sz="0" w:space="0" w:color="auto"/>
        <w:bottom w:val="none" w:sz="0" w:space="0" w:color="auto"/>
        <w:right w:val="none" w:sz="0" w:space="0" w:color="auto"/>
      </w:divBdr>
    </w:div>
    <w:div w:id="1235820545">
      <w:bodyDiv w:val="1"/>
      <w:marLeft w:val="0"/>
      <w:marRight w:val="0"/>
      <w:marTop w:val="0"/>
      <w:marBottom w:val="0"/>
      <w:divBdr>
        <w:top w:val="none" w:sz="0" w:space="0" w:color="auto"/>
        <w:left w:val="none" w:sz="0" w:space="0" w:color="auto"/>
        <w:bottom w:val="none" w:sz="0" w:space="0" w:color="auto"/>
        <w:right w:val="none" w:sz="0" w:space="0" w:color="auto"/>
      </w:divBdr>
    </w:div>
    <w:div w:id="1419251001">
      <w:bodyDiv w:val="1"/>
      <w:marLeft w:val="0"/>
      <w:marRight w:val="0"/>
      <w:marTop w:val="0"/>
      <w:marBottom w:val="0"/>
      <w:divBdr>
        <w:top w:val="none" w:sz="0" w:space="0" w:color="auto"/>
        <w:left w:val="none" w:sz="0" w:space="0" w:color="auto"/>
        <w:bottom w:val="none" w:sz="0" w:space="0" w:color="auto"/>
        <w:right w:val="none" w:sz="0" w:space="0" w:color="auto"/>
      </w:divBdr>
      <w:divsChild>
        <w:div w:id="97990694">
          <w:marLeft w:val="0"/>
          <w:marRight w:val="0"/>
          <w:marTop w:val="0"/>
          <w:marBottom w:val="0"/>
          <w:divBdr>
            <w:top w:val="none" w:sz="0" w:space="0" w:color="auto"/>
            <w:left w:val="none" w:sz="0" w:space="0" w:color="auto"/>
            <w:bottom w:val="none" w:sz="0" w:space="0" w:color="auto"/>
            <w:right w:val="none" w:sz="0" w:space="0" w:color="auto"/>
          </w:divBdr>
        </w:div>
        <w:div w:id="219288853">
          <w:marLeft w:val="0"/>
          <w:marRight w:val="0"/>
          <w:marTop w:val="0"/>
          <w:marBottom w:val="0"/>
          <w:divBdr>
            <w:top w:val="none" w:sz="0" w:space="0" w:color="auto"/>
            <w:left w:val="none" w:sz="0" w:space="0" w:color="auto"/>
            <w:bottom w:val="none" w:sz="0" w:space="0" w:color="auto"/>
            <w:right w:val="none" w:sz="0" w:space="0" w:color="auto"/>
          </w:divBdr>
        </w:div>
        <w:div w:id="286354867">
          <w:marLeft w:val="0"/>
          <w:marRight w:val="0"/>
          <w:marTop w:val="0"/>
          <w:marBottom w:val="0"/>
          <w:divBdr>
            <w:top w:val="none" w:sz="0" w:space="0" w:color="auto"/>
            <w:left w:val="none" w:sz="0" w:space="0" w:color="auto"/>
            <w:bottom w:val="none" w:sz="0" w:space="0" w:color="auto"/>
            <w:right w:val="none" w:sz="0" w:space="0" w:color="auto"/>
          </w:divBdr>
        </w:div>
        <w:div w:id="480661598">
          <w:marLeft w:val="0"/>
          <w:marRight w:val="0"/>
          <w:marTop w:val="0"/>
          <w:marBottom w:val="0"/>
          <w:divBdr>
            <w:top w:val="none" w:sz="0" w:space="0" w:color="auto"/>
            <w:left w:val="none" w:sz="0" w:space="0" w:color="auto"/>
            <w:bottom w:val="none" w:sz="0" w:space="0" w:color="auto"/>
            <w:right w:val="none" w:sz="0" w:space="0" w:color="auto"/>
          </w:divBdr>
        </w:div>
        <w:div w:id="655259370">
          <w:marLeft w:val="0"/>
          <w:marRight w:val="0"/>
          <w:marTop w:val="0"/>
          <w:marBottom w:val="0"/>
          <w:divBdr>
            <w:top w:val="none" w:sz="0" w:space="0" w:color="auto"/>
            <w:left w:val="none" w:sz="0" w:space="0" w:color="auto"/>
            <w:bottom w:val="none" w:sz="0" w:space="0" w:color="auto"/>
            <w:right w:val="none" w:sz="0" w:space="0" w:color="auto"/>
          </w:divBdr>
        </w:div>
        <w:div w:id="1741126325">
          <w:marLeft w:val="0"/>
          <w:marRight w:val="0"/>
          <w:marTop w:val="0"/>
          <w:marBottom w:val="0"/>
          <w:divBdr>
            <w:top w:val="none" w:sz="0" w:space="0" w:color="auto"/>
            <w:left w:val="none" w:sz="0" w:space="0" w:color="auto"/>
            <w:bottom w:val="none" w:sz="0" w:space="0" w:color="auto"/>
            <w:right w:val="none" w:sz="0" w:space="0" w:color="auto"/>
          </w:divBdr>
        </w:div>
      </w:divsChild>
    </w:div>
    <w:div w:id="1679581591">
      <w:bodyDiv w:val="1"/>
      <w:marLeft w:val="0"/>
      <w:marRight w:val="0"/>
      <w:marTop w:val="0"/>
      <w:marBottom w:val="0"/>
      <w:divBdr>
        <w:top w:val="none" w:sz="0" w:space="0" w:color="auto"/>
        <w:left w:val="none" w:sz="0" w:space="0" w:color="auto"/>
        <w:bottom w:val="none" w:sz="0" w:space="0" w:color="auto"/>
        <w:right w:val="none" w:sz="0" w:space="0" w:color="auto"/>
      </w:divBdr>
      <w:divsChild>
        <w:div w:id="1658413936">
          <w:marLeft w:val="547"/>
          <w:marRight w:val="0"/>
          <w:marTop w:val="0"/>
          <w:marBottom w:val="0"/>
          <w:divBdr>
            <w:top w:val="none" w:sz="0" w:space="0" w:color="auto"/>
            <w:left w:val="none" w:sz="0" w:space="0" w:color="auto"/>
            <w:bottom w:val="none" w:sz="0" w:space="0" w:color="auto"/>
            <w:right w:val="none" w:sz="0" w:space="0" w:color="auto"/>
          </w:divBdr>
        </w:div>
      </w:divsChild>
    </w:div>
    <w:div w:id="1707487813">
      <w:bodyDiv w:val="1"/>
      <w:marLeft w:val="0"/>
      <w:marRight w:val="0"/>
      <w:marTop w:val="0"/>
      <w:marBottom w:val="0"/>
      <w:divBdr>
        <w:top w:val="none" w:sz="0" w:space="0" w:color="auto"/>
        <w:left w:val="none" w:sz="0" w:space="0" w:color="auto"/>
        <w:bottom w:val="none" w:sz="0" w:space="0" w:color="auto"/>
        <w:right w:val="none" w:sz="0" w:space="0" w:color="auto"/>
      </w:divBdr>
      <w:divsChild>
        <w:div w:id="75710009">
          <w:marLeft w:val="0"/>
          <w:marRight w:val="0"/>
          <w:marTop w:val="86"/>
          <w:marBottom w:val="0"/>
          <w:divBdr>
            <w:top w:val="none" w:sz="0" w:space="0" w:color="auto"/>
            <w:left w:val="none" w:sz="0" w:space="0" w:color="auto"/>
            <w:bottom w:val="none" w:sz="0" w:space="0" w:color="auto"/>
            <w:right w:val="none" w:sz="0" w:space="0" w:color="auto"/>
          </w:divBdr>
        </w:div>
        <w:div w:id="732047984">
          <w:marLeft w:val="0"/>
          <w:marRight w:val="0"/>
          <w:marTop w:val="86"/>
          <w:marBottom w:val="0"/>
          <w:divBdr>
            <w:top w:val="none" w:sz="0" w:space="0" w:color="auto"/>
            <w:left w:val="none" w:sz="0" w:space="0" w:color="auto"/>
            <w:bottom w:val="none" w:sz="0" w:space="0" w:color="auto"/>
            <w:right w:val="none" w:sz="0" w:space="0" w:color="auto"/>
          </w:divBdr>
        </w:div>
        <w:div w:id="215511377">
          <w:marLeft w:val="0"/>
          <w:marRight w:val="0"/>
          <w:marTop w:val="86"/>
          <w:marBottom w:val="0"/>
          <w:divBdr>
            <w:top w:val="none" w:sz="0" w:space="0" w:color="auto"/>
            <w:left w:val="none" w:sz="0" w:space="0" w:color="auto"/>
            <w:bottom w:val="none" w:sz="0" w:space="0" w:color="auto"/>
            <w:right w:val="none" w:sz="0" w:space="0" w:color="auto"/>
          </w:divBdr>
        </w:div>
        <w:div w:id="1430586027">
          <w:marLeft w:val="0"/>
          <w:marRight w:val="0"/>
          <w:marTop w:val="86"/>
          <w:marBottom w:val="0"/>
          <w:divBdr>
            <w:top w:val="none" w:sz="0" w:space="0" w:color="auto"/>
            <w:left w:val="none" w:sz="0" w:space="0" w:color="auto"/>
            <w:bottom w:val="none" w:sz="0" w:space="0" w:color="auto"/>
            <w:right w:val="none" w:sz="0" w:space="0" w:color="auto"/>
          </w:divBdr>
        </w:div>
        <w:div w:id="1501312931">
          <w:marLeft w:val="0"/>
          <w:marRight w:val="0"/>
          <w:marTop w:val="86"/>
          <w:marBottom w:val="0"/>
          <w:divBdr>
            <w:top w:val="none" w:sz="0" w:space="0" w:color="auto"/>
            <w:left w:val="none" w:sz="0" w:space="0" w:color="auto"/>
            <w:bottom w:val="none" w:sz="0" w:space="0" w:color="auto"/>
            <w:right w:val="none" w:sz="0" w:space="0" w:color="auto"/>
          </w:divBdr>
        </w:div>
        <w:div w:id="2085644958">
          <w:marLeft w:val="0"/>
          <w:marRight w:val="0"/>
          <w:marTop w:val="86"/>
          <w:marBottom w:val="0"/>
          <w:divBdr>
            <w:top w:val="none" w:sz="0" w:space="0" w:color="auto"/>
            <w:left w:val="none" w:sz="0" w:space="0" w:color="auto"/>
            <w:bottom w:val="none" w:sz="0" w:space="0" w:color="auto"/>
            <w:right w:val="none" w:sz="0" w:space="0" w:color="auto"/>
          </w:divBdr>
        </w:div>
      </w:divsChild>
    </w:div>
    <w:div w:id="2071809438">
      <w:bodyDiv w:val="1"/>
      <w:marLeft w:val="0"/>
      <w:marRight w:val="0"/>
      <w:marTop w:val="0"/>
      <w:marBottom w:val="0"/>
      <w:divBdr>
        <w:top w:val="none" w:sz="0" w:space="0" w:color="auto"/>
        <w:left w:val="none" w:sz="0" w:space="0" w:color="auto"/>
        <w:bottom w:val="none" w:sz="0" w:space="0" w:color="auto"/>
        <w:right w:val="none" w:sz="0" w:space="0" w:color="auto"/>
      </w:divBdr>
      <w:divsChild>
        <w:div w:id="21349012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onographs.iarc.fr/ENG/Preamble/CurrentPreambl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inchem.org/documents/jmpr/jmpmono/v2004pr01.pdf" TargetMode="External"/><Relationship Id="rId2" Type="http://schemas.openxmlformats.org/officeDocument/2006/relationships/hyperlink" Target="http://www.thelancet.com/pdfs/journals/lanonc/PIIS1470-2045%2815%2970134-8.pdf" TargetMode="External"/><Relationship Id="rId1" Type="http://schemas.openxmlformats.org/officeDocument/2006/relationships/hyperlink" Target="http://monographs.iarc.fr/ENG/Preamble/CurrentPreamb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06CBE-4A44-4DB5-AF27-F7680BE8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7386</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Estudio Soma</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 Chi</dc:creator>
  <cp:lastModifiedBy>felorza</cp:lastModifiedBy>
  <cp:revision>2</cp:revision>
  <cp:lastPrinted>2015-05-14T15:32:00Z</cp:lastPrinted>
  <dcterms:created xsi:type="dcterms:W3CDTF">2015-05-14T16:02:00Z</dcterms:created>
  <dcterms:modified xsi:type="dcterms:W3CDTF">2015-05-14T16:02:00Z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Ponzio A u215665</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73</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